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数学与统计学院</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杨俊坚</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副教授</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计算数学</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教学科研型教授</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2023</w:t>
      </w:r>
      <w:r>
        <w:rPr>
          <w:rFonts w:hint="eastAsia"/>
          <w:sz w:val="24"/>
        </w:rPr>
        <w:t xml:space="preserve">年  </w:t>
      </w:r>
      <w:r>
        <w:rPr>
          <w:rFonts w:hint="eastAsia"/>
          <w:sz w:val="24"/>
          <w:lang w:val="en-US" w:eastAsia="zh-CN"/>
        </w:rPr>
        <w:t>8</w:t>
      </w:r>
      <w:r>
        <w:rPr>
          <w:rFonts w:hint="eastAsia"/>
          <w:sz w:val="24"/>
        </w:rPr>
        <w:t xml:space="preserve"> 月  </w:t>
      </w:r>
      <w:r>
        <w:rPr>
          <w:rFonts w:hint="eastAsia"/>
          <w:sz w:val="24"/>
          <w:lang w:val="en-US" w:eastAsia="zh-CN"/>
        </w:rPr>
        <w:t>21</w:t>
      </w:r>
      <w:r>
        <w:rPr>
          <w:rFonts w:hint="eastAsia"/>
          <w:sz w:val="24"/>
        </w:rPr>
        <w:t>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425"/>
        <w:gridCol w:w="135"/>
        <w:gridCol w:w="436"/>
        <w:gridCol w:w="279"/>
        <w:gridCol w:w="288"/>
        <w:gridCol w:w="708"/>
        <w:gridCol w:w="285"/>
        <w:gridCol w:w="70"/>
        <w:gridCol w:w="800"/>
        <w:gridCol w:w="263"/>
        <w:gridCol w:w="567"/>
        <w:gridCol w:w="142"/>
        <w:gridCol w:w="146"/>
        <w:gridCol w:w="280"/>
        <w:gridCol w:w="280"/>
        <w:gridCol w:w="574"/>
        <w:gridCol w:w="283"/>
        <w:gridCol w:w="57"/>
        <w:gridCol w:w="369"/>
        <w:gridCol w:w="1133"/>
      </w:tblGrid>
      <w:tr>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杨俊坚</w:t>
            </w:r>
          </w:p>
        </w:tc>
        <w:tc>
          <w:tcPr>
            <w:tcW w:w="57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1981年10月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相片</w:t>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rPr>
              <w:t>高等学校教师资格</w:t>
            </w:r>
            <w:r>
              <w:rPr>
                <w:rFonts w:hint="eastAsia" w:ascii="宋体" w:hAnsi="宋体" w:cs="Arial"/>
                <w:kern w:val="0"/>
                <w:szCs w:val="21"/>
                <w:lang w:eastAsia="zh-CN"/>
              </w:rPr>
              <w:t>、</w:t>
            </w:r>
            <w:r>
              <w:rPr>
                <w:rFonts w:hint="eastAsia" w:ascii="宋体" w:hAnsi="宋体" w:cs="Arial"/>
                <w:kern w:val="0"/>
                <w:szCs w:val="21"/>
                <w:lang w:val="en-US" w:eastAsia="zh-CN"/>
              </w:rPr>
              <w:t>理学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4"/>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贵州师范大学</w:t>
            </w:r>
          </w:p>
        </w:tc>
        <w:tc>
          <w:tcPr>
            <w:tcW w:w="85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博士研究生、博士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计算数学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4"/>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数学与统计 学院</w:t>
            </w:r>
          </w:p>
        </w:tc>
        <w:tc>
          <w:tcPr>
            <w:tcW w:w="850" w:type="dxa"/>
            <w:gridSpan w:val="3"/>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2003年06月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数学</w:t>
            </w:r>
            <w:bookmarkStart w:id="0" w:name="_GoBack"/>
            <w:bookmarkEnd w:id="0"/>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副教授、2012年12月</w:t>
            </w:r>
          </w:p>
          <w:p>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0052"/>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2017年01月</w:t>
            </w:r>
          </w:p>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数学与统计学院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6</w:t>
            </w:r>
            <w:r>
              <w:rPr>
                <w:rFonts w:hint="eastAsia" w:ascii="宋体" w:hAnsi="宋体" w:cs="Arial"/>
                <w:kern w:val="0"/>
                <w:szCs w:val="21"/>
              </w:rPr>
              <w:t>年</w:t>
            </w:r>
            <w:r>
              <w:rPr>
                <w:rFonts w:hint="eastAsia" w:ascii="宋体" w:hAnsi="宋体" w:cs="Arial"/>
                <w:kern w:val="0"/>
                <w:szCs w:val="21"/>
                <w:lang w:val="en-US" w:eastAsia="zh-CN"/>
              </w:rPr>
              <w:t>0</w:t>
            </w:r>
            <w:r>
              <w:rPr>
                <w:rFonts w:hint="eastAsia" w:ascii="宋体" w:hAnsi="宋体" w:cs="Arial"/>
                <w:kern w:val="0"/>
                <w:szCs w:val="21"/>
              </w:rPr>
              <w:t>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计算机科学技术</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免试</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计算数学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教学科研型教授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0052"/>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985"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199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199909-200306</w:t>
            </w:r>
          </w:p>
        </w:tc>
        <w:tc>
          <w:tcPr>
            <w:tcW w:w="985" w:type="dxa"/>
            <w:gridSpan w:val="3"/>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全日制本科</w:t>
            </w:r>
          </w:p>
        </w:tc>
        <w:tc>
          <w:tcPr>
            <w:tcW w:w="199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长沙理工大学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计算机系</w:t>
            </w:r>
          </w:p>
          <w:p>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自动化</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王琦</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201006-201306</w:t>
            </w:r>
          </w:p>
        </w:tc>
        <w:tc>
          <w:tcPr>
            <w:tcW w:w="985"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在职</w:t>
            </w:r>
          </w:p>
        </w:tc>
        <w:tc>
          <w:tcPr>
            <w:tcW w:w="199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信息学院</w:t>
            </w:r>
          </w:p>
          <w:p>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通信与信息工程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李太君</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201709-202106</w:t>
            </w:r>
          </w:p>
        </w:tc>
        <w:tc>
          <w:tcPr>
            <w:tcW w:w="985" w:type="dxa"/>
            <w:gridSpan w:val="3"/>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全日制博士</w:t>
            </w:r>
          </w:p>
        </w:tc>
        <w:tc>
          <w:tcPr>
            <w:tcW w:w="199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贵州师范大学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数学科学学院</w:t>
            </w:r>
          </w:p>
          <w:p>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计算数学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卢琳璋</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2</w:t>
            </w:r>
            <w:r>
              <w:rPr>
                <w:rFonts w:ascii="宋体" w:hAnsi="宋体" w:cs="Arial"/>
                <w:color w:val="000000"/>
                <w:kern w:val="0"/>
                <w:szCs w:val="21"/>
              </w:rPr>
              <w:t>01907</w:t>
            </w:r>
            <w:r>
              <w:rPr>
                <w:rFonts w:hint="eastAsia" w:ascii="宋体" w:hAnsi="宋体" w:cs="Arial"/>
                <w:color w:val="000000"/>
                <w:kern w:val="0"/>
                <w:szCs w:val="21"/>
              </w:rPr>
              <w:t>-</w:t>
            </w:r>
            <w:r>
              <w:rPr>
                <w:rFonts w:ascii="宋体" w:hAnsi="宋体" w:cs="Arial"/>
                <w:color w:val="000000"/>
                <w:kern w:val="0"/>
                <w:szCs w:val="21"/>
              </w:rPr>
              <w:t>201912</w:t>
            </w:r>
          </w:p>
        </w:tc>
        <w:tc>
          <w:tcPr>
            <w:tcW w:w="985"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培训</w:t>
            </w:r>
          </w:p>
        </w:tc>
        <w:tc>
          <w:tcPr>
            <w:tcW w:w="199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四川大学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出国留学人员培训部</w:t>
            </w:r>
          </w:p>
          <w:p>
            <w:pPr>
              <w:widowControl/>
              <w:jc w:val="center"/>
              <w:rPr>
                <w:rFonts w:ascii="宋体" w:hAnsi="宋体" w:cs="Arial"/>
                <w:kern w:val="0"/>
                <w:szCs w:val="21"/>
              </w:rPr>
            </w:pPr>
            <w:r>
              <w:rPr>
                <w:rFonts w:hint="eastAsia" w:ascii="宋体" w:hAnsi="宋体" w:cs="Arial"/>
                <w:color w:val="000000"/>
                <w:kern w:val="0"/>
                <w:szCs w:val="21"/>
              </w:rPr>
              <w:t>英语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符桑岚</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85"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85"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85"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405" w:type="dxa"/>
            <w:vAlign w:val="center"/>
          </w:tcPr>
          <w:p>
            <w:pPr>
              <w:jc w:val="center"/>
              <w:rPr>
                <w:szCs w:val="21"/>
              </w:rPr>
            </w:pPr>
            <w:r>
              <w:rPr>
                <w:rFonts w:hint="eastAsia"/>
                <w:szCs w:val="21"/>
              </w:rPr>
              <w:t xml:space="preserve"> </w:t>
            </w:r>
            <w:r>
              <w:rPr>
                <w:rFonts w:hint="eastAsia"/>
                <w:szCs w:val="21"/>
                <w:lang w:val="en-US" w:eastAsia="zh-CN"/>
              </w:rPr>
              <w:t>2003</w:t>
            </w:r>
            <w:r>
              <w:rPr>
                <w:rFonts w:hint="eastAsia"/>
                <w:szCs w:val="21"/>
              </w:rPr>
              <w:t>年</w:t>
            </w:r>
            <w:r>
              <w:rPr>
                <w:rFonts w:hint="eastAsia"/>
                <w:szCs w:val="21"/>
                <w:lang w:val="en-US" w:eastAsia="zh-CN"/>
              </w:rPr>
              <w:t>06</w:t>
            </w:r>
            <w:r>
              <w:rPr>
                <w:rFonts w:hint="eastAsia"/>
                <w:szCs w:val="21"/>
              </w:rPr>
              <w:t>月—</w:t>
            </w:r>
            <w:r>
              <w:rPr>
                <w:rFonts w:hint="eastAsia"/>
                <w:szCs w:val="21"/>
                <w:lang w:val="en-US" w:eastAsia="zh-CN"/>
              </w:rPr>
              <w:t>2022</w:t>
            </w:r>
            <w:r>
              <w:rPr>
                <w:rFonts w:hint="eastAsia"/>
                <w:szCs w:val="21"/>
              </w:rPr>
              <w:t xml:space="preserve">年   </w:t>
            </w:r>
            <w:r>
              <w:rPr>
                <w:rFonts w:hint="eastAsia"/>
                <w:szCs w:val="21"/>
                <w:lang w:val="en-US" w:eastAsia="zh-CN"/>
              </w:rPr>
              <w:t>12</w:t>
            </w:r>
            <w:r>
              <w:rPr>
                <w:rFonts w:hint="eastAsia"/>
                <w:szCs w:val="21"/>
              </w:rPr>
              <w:t>月</w:t>
            </w:r>
          </w:p>
        </w:tc>
        <w:tc>
          <w:tcPr>
            <w:tcW w:w="3265" w:type="dxa"/>
            <w:vAlign w:val="center"/>
          </w:tcPr>
          <w:p>
            <w:pPr>
              <w:jc w:val="center"/>
              <w:rPr>
                <w:rFonts w:hint="default" w:eastAsiaTheme="minorEastAsia"/>
                <w:sz w:val="18"/>
                <w:lang w:val="en-US" w:eastAsia="zh-CN"/>
              </w:rPr>
            </w:pPr>
            <w:r>
              <w:rPr>
                <w:rFonts w:hint="eastAsia"/>
                <w:szCs w:val="21"/>
                <w:lang w:val="en-US" w:eastAsia="zh-CN"/>
              </w:rPr>
              <w:t>海南师范大学 数学与统计学院</w:t>
            </w:r>
          </w:p>
        </w:tc>
        <w:tc>
          <w:tcPr>
            <w:tcW w:w="2410" w:type="dxa"/>
            <w:vAlign w:val="center"/>
          </w:tcPr>
          <w:p>
            <w:pPr>
              <w:jc w:val="center"/>
              <w:rPr>
                <w:rFonts w:hint="default"/>
                <w:szCs w:val="21"/>
                <w:lang w:val="en-US" w:eastAsia="zh-CN"/>
              </w:rPr>
            </w:pPr>
            <w:r>
              <w:rPr>
                <w:rFonts w:hint="eastAsia"/>
                <w:szCs w:val="21"/>
                <w:lang w:val="en-US" w:eastAsia="zh-CN"/>
              </w:rPr>
              <w:t>信息与计算科学 专任教师</w:t>
            </w:r>
          </w:p>
        </w:tc>
        <w:tc>
          <w:tcPr>
            <w:tcW w:w="1701" w:type="dxa"/>
            <w:vAlign w:val="center"/>
          </w:tcPr>
          <w:p>
            <w:pPr>
              <w:jc w:val="center"/>
              <w:rPr>
                <w:rFonts w:hint="eastAsia"/>
                <w:szCs w:val="21"/>
                <w:lang w:val="en-US" w:eastAsia="zh-CN"/>
              </w:rPr>
            </w:pPr>
            <w:r>
              <w:rPr>
                <w:rFonts w:hint="eastAsia"/>
                <w:szCs w:val="21"/>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kern w:val="0"/>
                <w:szCs w:val="21"/>
              </w:rPr>
            </w:pPr>
          </w:p>
          <w:p>
            <w:pPr>
              <w:widowControl/>
              <w:jc w:val="left"/>
              <w:rPr>
                <w:rFonts w:ascii="宋体" w:hAnsi="宋体" w:cs="Arial"/>
                <w:kern w:val="0"/>
                <w:szCs w:val="21"/>
              </w:rPr>
            </w:pP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lang w:val="en-US" w:eastAsia="zh-CN"/>
              </w:rPr>
              <w:t>杨俊坚</w:t>
            </w:r>
            <w:r>
              <w:rPr>
                <w:rFonts w:hint="eastAsia" w:ascii="宋体" w:hAnsi="宋体" w:cs="Arial"/>
                <w:color w:val="000000"/>
                <w:kern w:val="0"/>
                <w:szCs w:val="21"/>
              </w:rPr>
              <w:t>同志于2</w:t>
            </w:r>
            <w:r>
              <w:rPr>
                <w:rFonts w:ascii="宋体" w:hAnsi="宋体" w:cs="Arial"/>
                <w:color w:val="000000"/>
                <w:kern w:val="0"/>
                <w:szCs w:val="21"/>
              </w:rPr>
              <w:t>0</w:t>
            </w:r>
            <w:r>
              <w:rPr>
                <w:rFonts w:hint="eastAsia" w:ascii="宋体" w:hAnsi="宋体" w:cs="Arial"/>
                <w:color w:val="000000"/>
                <w:kern w:val="0"/>
                <w:szCs w:val="21"/>
                <w:lang w:val="en-US" w:eastAsia="zh-CN"/>
              </w:rPr>
              <w:t>03</w:t>
            </w:r>
            <w:r>
              <w:rPr>
                <w:rFonts w:hint="eastAsia" w:ascii="宋体" w:hAnsi="宋体" w:cs="Arial"/>
                <w:color w:val="000000"/>
                <w:kern w:val="0"/>
                <w:szCs w:val="21"/>
              </w:rPr>
              <w:t>年</w:t>
            </w:r>
            <w:r>
              <w:rPr>
                <w:rFonts w:hint="eastAsia" w:ascii="宋体" w:hAnsi="宋体" w:cs="Arial"/>
                <w:color w:val="000000"/>
                <w:kern w:val="0"/>
                <w:szCs w:val="21"/>
                <w:lang w:val="en-US" w:eastAsia="zh-CN"/>
              </w:rPr>
              <w:t>6</w:t>
            </w:r>
            <w:r>
              <w:rPr>
                <w:rFonts w:hint="eastAsia" w:ascii="宋体" w:hAnsi="宋体" w:cs="Arial"/>
                <w:color w:val="000000"/>
                <w:kern w:val="0"/>
                <w:szCs w:val="21"/>
              </w:rPr>
              <w:t>月来我院工作，从事</w:t>
            </w:r>
            <w:r>
              <w:rPr>
                <w:rFonts w:hint="eastAsia" w:ascii="宋体" w:hAnsi="宋体" w:cs="Arial"/>
                <w:color w:val="000000"/>
                <w:kern w:val="0"/>
                <w:szCs w:val="21"/>
                <w:lang w:val="en-US" w:eastAsia="zh-CN"/>
              </w:rPr>
              <w:t>信息与计算科学相关的教学、科研工作</w:t>
            </w:r>
            <w:r>
              <w:rPr>
                <w:rFonts w:hint="eastAsia" w:ascii="宋体" w:hAnsi="宋体" w:cs="Arial"/>
                <w:color w:val="000000"/>
                <w:kern w:val="0"/>
                <w:szCs w:val="21"/>
              </w:rPr>
              <w:t>。该同志热爱祖国，拥护中国共产党的领导和社会主义制度，遵守法律法规，忠诚党的教育事业。</w:t>
            </w: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lang w:val="en-US" w:eastAsia="zh-CN"/>
              </w:rPr>
              <w:t>杨俊坚</w:t>
            </w:r>
            <w:r>
              <w:rPr>
                <w:rFonts w:hint="eastAsia" w:ascii="宋体" w:hAnsi="宋体" w:cs="Arial"/>
                <w:color w:val="000000"/>
                <w:kern w:val="0"/>
                <w:szCs w:val="21"/>
              </w:rPr>
              <w:t>同志入职以来，恪尽职守，勇挑重担，团结协作，积极参加学科与平台建设、集体活动，具有教师情怀和爱校情怀。她认真教书育人，以学生为本，注重教学内容与专业特点、就业需要相结合，教风端正，治学严谨。她为人师表，立德树人，作风正派，具有高度的责任心、强烈的使命感和良好的职业道德。她严格遵守师德师风行为准则，教育教学科研能力强，没有学术不端行为。</w:t>
            </w: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总之，该同志热爱教育事业，有较强的教育工作能力和组织能力和有较高的政治思想觉悟和良好的师德修养，较好促进学校的教育教学工作发展。</w:t>
            </w: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eastAsia" w:ascii="宋体" w:hAnsi="宋体" w:cs="Arial"/>
                <w:kern w:val="0"/>
                <w:szCs w:val="21"/>
                <w:lang w:val="en-US" w:eastAsia="zh-CN"/>
              </w:rPr>
            </w:pPr>
            <w:r>
              <w:rPr>
                <w:rFonts w:hint="eastAsia" w:ascii="宋体" w:hAnsi="宋体" w:cs="Arial"/>
                <w:kern w:val="0"/>
                <w:szCs w:val="21"/>
                <w:lang w:val="en-US" w:eastAsia="zh-CN"/>
              </w:rPr>
              <w:t>2017年度考核：合格</w:t>
            </w:r>
          </w:p>
          <w:p>
            <w:pPr>
              <w:widowControl/>
              <w:rPr>
                <w:rFonts w:hint="default" w:ascii="宋体" w:hAnsi="宋体" w:cs="Arial"/>
                <w:kern w:val="0"/>
                <w:szCs w:val="21"/>
                <w:lang w:val="en-US" w:eastAsia="zh-CN"/>
              </w:rPr>
            </w:pPr>
            <w:r>
              <w:rPr>
                <w:rFonts w:hint="eastAsia" w:ascii="宋体" w:hAnsi="宋体" w:cs="Arial"/>
                <w:kern w:val="0"/>
                <w:szCs w:val="21"/>
                <w:lang w:val="en-US" w:eastAsia="zh-CN"/>
              </w:rPr>
              <w:t>2018年度考核：合格</w:t>
            </w:r>
          </w:p>
          <w:p>
            <w:pPr>
              <w:widowControl/>
              <w:rPr>
                <w:rFonts w:hint="eastAsia" w:ascii="宋体" w:hAnsi="宋体" w:cs="Arial" w:eastAsiaTheme="minorEastAsia"/>
                <w:kern w:val="0"/>
                <w:szCs w:val="21"/>
                <w:lang w:eastAsia="zh-CN"/>
              </w:rPr>
            </w:pPr>
            <w:r>
              <w:rPr>
                <w:rFonts w:hint="eastAsia" w:ascii="宋体" w:hAnsi="宋体" w:cs="Arial"/>
                <w:kern w:val="0"/>
                <w:szCs w:val="21"/>
              </w:rPr>
              <w:t>2</w:t>
            </w:r>
            <w:r>
              <w:rPr>
                <w:rFonts w:ascii="宋体" w:hAnsi="宋体" w:cs="Arial"/>
                <w:kern w:val="0"/>
                <w:szCs w:val="21"/>
              </w:rPr>
              <w:t>019</w:t>
            </w:r>
            <w:r>
              <w:rPr>
                <w:rFonts w:hint="eastAsia" w:ascii="宋体" w:hAnsi="宋体" w:cs="Arial"/>
                <w:kern w:val="0"/>
                <w:szCs w:val="21"/>
              </w:rPr>
              <w:t>年度考核：</w:t>
            </w:r>
            <w:r>
              <w:rPr>
                <w:rFonts w:hint="eastAsia" w:ascii="宋体" w:hAnsi="宋体" w:cs="Arial"/>
                <w:kern w:val="0"/>
                <w:szCs w:val="21"/>
                <w:lang w:val="en-US" w:eastAsia="zh-CN"/>
              </w:rPr>
              <w:t>合格</w:t>
            </w:r>
          </w:p>
          <w:p>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020</w:t>
            </w:r>
            <w:r>
              <w:rPr>
                <w:rFonts w:hint="eastAsia" w:ascii="宋体" w:hAnsi="宋体" w:cs="Arial"/>
                <w:kern w:val="0"/>
                <w:szCs w:val="21"/>
              </w:rPr>
              <w:t>年度考核：合格</w:t>
            </w:r>
          </w:p>
          <w:p>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w:t>
            </w:r>
            <w:r>
              <w:rPr>
                <w:rFonts w:hint="eastAsia" w:ascii="宋体" w:hAnsi="宋体" w:cs="Arial"/>
                <w:kern w:val="0"/>
                <w:szCs w:val="21"/>
              </w:rPr>
              <w:t>21年度考核：合格</w:t>
            </w:r>
          </w:p>
          <w:p>
            <w:pPr>
              <w:widowControl/>
              <w:rPr>
                <w:rFonts w:hint="default" w:ascii="宋体" w:hAnsi="宋体" w:cs="Arial" w:eastAsiaTheme="minorEastAsia"/>
                <w:kern w:val="0"/>
                <w:szCs w:val="21"/>
                <w:lang w:val="en-US" w:eastAsia="zh-CN"/>
              </w:rPr>
            </w:pPr>
            <w:r>
              <w:rPr>
                <w:rFonts w:hint="eastAsia" w:ascii="宋体" w:hAnsi="宋体" w:cs="Arial"/>
                <w:kern w:val="0"/>
                <w:szCs w:val="21"/>
              </w:rPr>
              <w:t>2</w:t>
            </w:r>
            <w:r>
              <w:rPr>
                <w:rFonts w:ascii="宋体" w:hAnsi="宋体" w:cs="Arial"/>
                <w:kern w:val="0"/>
                <w:szCs w:val="21"/>
              </w:rPr>
              <w:t>022</w:t>
            </w:r>
            <w:r>
              <w:rPr>
                <w:rFonts w:hint="eastAsia" w:ascii="宋体" w:hAnsi="宋体" w:cs="Arial"/>
                <w:kern w:val="0"/>
                <w:szCs w:val="21"/>
              </w:rPr>
              <w:t>年度考核：合格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020</w:t>
            </w:r>
            <w:r>
              <w:rPr>
                <w:rFonts w:hint="eastAsia" w:cs="Arial" w:asciiTheme="minorEastAsia" w:hAnsiTheme="minorEastAsia"/>
                <w:kern w:val="0"/>
                <w:szCs w:val="21"/>
              </w:rPr>
              <w:t>年度考核：合格</w:t>
            </w:r>
          </w:p>
          <w:p>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021</w:t>
            </w:r>
            <w:r>
              <w:rPr>
                <w:rFonts w:hint="eastAsia" w:cs="Arial" w:asciiTheme="minorEastAsia" w:hAnsiTheme="minorEastAsia"/>
                <w:kern w:val="0"/>
                <w:szCs w:val="21"/>
              </w:rPr>
              <w:t>年度考核：合格</w:t>
            </w:r>
          </w:p>
          <w:p>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rPr>
              <w:t>2</w:t>
            </w:r>
            <w:r>
              <w:rPr>
                <w:rFonts w:cs="Arial" w:asciiTheme="minorEastAsia" w:hAnsiTheme="minorEastAsia"/>
                <w:kern w:val="0"/>
                <w:szCs w:val="21"/>
              </w:rPr>
              <w:t>0</w:t>
            </w:r>
            <w:r>
              <w:rPr>
                <w:rFonts w:hint="eastAsia" w:cs="Arial" w:asciiTheme="minorEastAsia" w:hAnsiTheme="minorEastAsia"/>
                <w:kern w:val="0"/>
                <w:szCs w:val="21"/>
              </w:rPr>
              <w:t>2</w:t>
            </w:r>
            <w:r>
              <w:rPr>
                <w:rFonts w:cs="Arial" w:asciiTheme="minorEastAsia" w:hAnsiTheme="minorEastAsia"/>
                <w:kern w:val="0"/>
                <w:szCs w:val="21"/>
              </w:rPr>
              <w:t>2</w:t>
            </w:r>
            <w:r>
              <w:rPr>
                <w:rFonts w:hint="eastAsia" w:cs="Arial" w:asciiTheme="minorEastAsia" w:hAnsiTheme="minorEastAsia"/>
                <w:kern w:val="0"/>
                <w:szCs w:val="21"/>
              </w:rPr>
              <w:t>年度考核：优秀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攻读博士学位，2017年09月-2021年06月</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2021年09月至今担任数学与统计学院21级数物信1班班主任</w:t>
            </w:r>
          </w:p>
        </w:tc>
      </w:tr>
    </w:tbl>
    <w:p/>
    <w:p>
      <w:pPr>
        <w:rPr>
          <w:rFonts w:hint="default"/>
          <w:lang w:val="en-US"/>
        </w:rPr>
      </w:pPr>
    </w:p>
    <w:tbl>
      <w:tblPr>
        <w:tblStyle w:val="6"/>
        <w:tblW w:w="9782" w:type="dxa"/>
        <w:tblInd w:w="108" w:type="dxa"/>
        <w:tblLayout w:type="fixed"/>
        <w:tblCellMar>
          <w:top w:w="0" w:type="dxa"/>
          <w:left w:w="108" w:type="dxa"/>
          <w:bottom w:w="0" w:type="dxa"/>
          <w:right w:w="108" w:type="dxa"/>
        </w:tblCellMar>
      </w:tblPr>
      <w:tblGrid>
        <w:gridCol w:w="1645"/>
        <w:gridCol w:w="2268"/>
        <w:gridCol w:w="2041"/>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645" w:type="dxa"/>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137"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hint="default" w:ascii="仿宋_GB2312" w:eastAsia="仿宋_GB2312"/>
                <w:szCs w:val="21"/>
                <w:u w:val="single"/>
                <w:lang w:val="en-US" w:eastAsia="zh-CN"/>
              </w:rPr>
              <w:t>552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default" w:ascii="仿宋_GB2312" w:eastAsia="仿宋_GB2312"/>
                <w:szCs w:val="21"/>
                <w:u w:val="single"/>
                <w:lang w:val="en-US" w:eastAsia="zh-CN"/>
              </w:rPr>
              <w:t>276</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552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276</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u w:val="single"/>
                <w:lang w:val="en-US" w:eastAsia="zh-CN"/>
              </w:rPr>
              <w:t>94</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47</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 xml:space="preserve">担任毕业实习和论文指导工作（ </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 xml:space="preserve">）届；或担任本科生创新创业活动（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）项；或担任本科生专业竞赛指导（ </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 xml:space="preserve"> ）项；或担任本科生开展寒暑假社会实践（   ）项。</w:t>
            </w:r>
          </w:p>
        </w:tc>
      </w:tr>
      <w:tr>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645"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268"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2041"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_GB2312" w:eastAsia="仿宋_GB2312"/>
                <w:szCs w:val="21"/>
              </w:rPr>
            </w:pPr>
            <w:r>
              <w:rPr>
                <w:rFonts w:hint="eastAsia" w:ascii="仿宋_GB2312" w:eastAsia="仿宋_GB2312"/>
                <w:szCs w:val="21"/>
              </w:rPr>
              <w:t>2</w:t>
            </w:r>
            <w:r>
              <w:rPr>
                <w:rFonts w:ascii="仿宋_GB2312" w:eastAsia="仿宋_GB2312"/>
                <w:szCs w:val="21"/>
              </w:rPr>
              <w:t>01</w:t>
            </w:r>
            <w:r>
              <w:rPr>
                <w:rFonts w:hint="eastAsia" w:ascii="仿宋_GB2312" w:eastAsia="仿宋_GB2312"/>
                <w:szCs w:val="21"/>
                <w:lang w:val="en-US" w:eastAsia="zh-CN"/>
              </w:rPr>
              <w:t>6</w:t>
            </w:r>
            <w:r>
              <w:rPr>
                <w:rFonts w:hint="eastAsia" w:ascii="仿宋_GB2312" w:eastAsia="仿宋_GB2312"/>
                <w:szCs w:val="21"/>
              </w:rPr>
              <w:t>-</w:t>
            </w:r>
            <w:r>
              <w:rPr>
                <w:rFonts w:ascii="仿宋_GB2312" w:eastAsia="仿宋_GB2312"/>
                <w:szCs w:val="21"/>
              </w:rPr>
              <w:t>201</w:t>
            </w:r>
            <w:r>
              <w:rPr>
                <w:rFonts w:hint="eastAsia" w:ascii="仿宋_GB2312" w:eastAsia="仿宋_GB2312"/>
                <w:szCs w:val="21"/>
                <w:lang w:val="en-US" w:eastAsia="zh-CN"/>
              </w:rPr>
              <w:t>7</w:t>
            </w:r>
            <w:r>
              <w:rPr>
                <w:rFonts w:hint="eastAsia" w:ascii="仿宋_GB2312" w:eastAsia="仿宋_GB2312"/>
                <w:szCs w:val="21"/>
              </w:rPr>
              <w:t>(</w:t>
            </w:r>
            <w:r>
              <w:rPr>
                <w:rFonts w:hint="eastAsia" w:ascii="仿宋_GB2312" w:eastAsia="仿宋_GB2312"/>
                <w:szCs w:val="21"/>
                <w:lang w:val="en-US" w:eastAsia="zh-CN"/>
              </w:rPr>
              <w:t>二</w:t>
            </w:r>
            <w:r>
              <w:rPr>
                <w:rFonts w:ascii="仿宋_GB2312" w:eastAsia="仿宋_GB2312"/>
                <w:szCs w:val="21"/>
              </w:rPr>
              <w:t>)</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高等数学II</w:t>
            </w:r>
          </w:p>
        </w:tc>
        <w:tc>
          <w:tcPr>
            <w:tcW w:w="2041"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2016管理类1、3班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_GB2312" w:eastAsia="仿宋_GB2312"/>
                <w:szCs w:val="21"/>
              </w:rPr>
            </w:pPr>
            <w:r>
              <w:rPr>
                <w:rFonts w:hint="eastAsia" w:ascii="仿宋_GB2312" w:eastAsia="仿宋_GB2312"/>
                <w:szCs w:val="21"/>
              </w:rPr>
              <w:t>2</w:t>
            </w:r>
            <w:r>
              <w:rPr>
                <w:rFonts w:ascii="仿宋_GB2312" w:eastAsia="仿宋_GB2312"/>
                <w:szCs w:val="21"/>
              </w:rPr>
              <w:t>01</w:t>
            </w:r>
            <w:r>
              <w:rPr>
                <w:rFonts w:hint="eastAsia" w:ascii="仿宋_GB2312" w:eastAsia="仿宋_GB2312"/>
                <w:szCs w:val="21"/>
                <w:lang w:val="en-US" w:eastAsia="zh-CN"/>
              </w:rPr>
              <w:t>6</w:t>
            </w:r>
            <w:r>
              <w:rPr>
                <w:rFonts w:hint="eastAsia" w:ascii="仿宋_GB2312" w:eastAsia="仿宋_GB2312"/>
                <w:szCs w:val="21"/>
              </w:rPr>
              <w:t>-</w:t>
            </w:r>
            <w:r>
              <w:rPr>
                <w:rFonts w:ascii="仿宋_GB2312" w:eastAsia="仿宋_GB2312"/>
                <w:szCs w:val="21"/>
              </w:rPr>
              <w:t>201</w:t>
            </w:r>
            <w:r>
              <w:rPr>
                <w:rFonts w:hint="eastAsia" w:ascii="仿宋_GB2312" w:eastAsia="仿宋_GB2312"/>
                <w:szCs w:val="21"/>
                <w:lang w:val="en-US" w:eastAsia="zh-CN"/>
              </w:rPr>
              <w:t>7</w:t>
            </w:r>
            <w:r>
              <w:rPr>
                <w:rFonts w:hint="eastAsia" w:ascii="仿宋_GB2312" w:eastAsia="仿宋_GB2312"/>
                <w:szCs w:val="21"/>
              </w:rPr>
              <w:t>(</w:t>
            </w:r>
            <w:r>
              <w:rPr>
                <w:rFonts w:hint="eastAsia" w:ascii="仿宋_GB2312" w:eastAsia="仿宋_GB2312"/>
                <w:szCs w:val="21"/>
                <w:lang w:val="en-US" w:eastAsia="zh-CN"/>
              </w:rPr>
              <w:t>二</w:t>
            </w:r>
            <w:r>
              <w:rPr>
                <w:rFonts w:ascii="仿宋_GB2312" w:eastAsia="仿宋_GB2312"/>
                <w:szCs w:val="21"/>
              </w:rPr>
              <w:t>)</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高等数学II</w:t>
            </w:r>
          </w:p>
        </w:tc>
        <w:tc>
          <w:tcPr>
            <w:tcW w:w="2041"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2016管理类2、4班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2021-2022(一)</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线性代数M</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2020管理类1、2、3班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2021-2022(一)</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线性代数M</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2020管理类4、5、6班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2021-2022(一)</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线性代数M</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2020管理类7、8、9班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2021-2022(二)</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数学建模</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2020数学1班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2021-2022(二)</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线性代数</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2021数物信类14、15班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w:t>
            </w:r>
            <w:r>
              <w:rPr>
                <w:rFonts w:hint="default" w:ascii="仿宋_GB2312" w:eastAsia="仿宋_GB2312"/>
                <w:szCs w:val="21"/>
                <w:lang w:val="en-US"/>
              </w:rPr>
              <w:t>22</w:t>
            </w:r>
            <w:r>
              <w:rPr>
                <w:rFonts w:hint="eastAsia" w:ascii="仿宋_GB2312" w:eastAsia="仿宋_GB2312"/>
                <w:szCs w:val="21"/>
              </w:rPr>
              <w:t>-</w:t>
            </w:r>
            <w:r>
              <w:rPr>
                <w:rFonts w:ascii="仿宋_GB2312" w:eastAsia="仿宋_GB2312"/>
                <w:szCs w:val="21"/>
              </w:rPr>
              <w:t>20</w:t>
            </w:r>
            <w:r>
              <w:rPr>
                <w:rFonts w:hint="default" w:ascii="仿宋_GB2312" w:eastAsia="仿宋_GB2312"/>
                <w:szCs w:val="21"/>
                <w:lang w:val="en-US"/>
              </w:rPr>
              <w:t>23</w:t>
            </w:r>
            <w:r>
              <w:rPr>
                <w:rFonts w:hint="eastAsia" w:ascii="仿宋_GB2312" w:eastAsia="仿宋_GB2312"/>
                <w:szCs w:val="21"/>
              </w:rPr>
              <w:t>(一</w:t>
            </w:r>
            <w:r>
              <w:rPr>
                <w:rFonts w:ascii="仿宋_GB2312" w:eastAsia="仿宋_GB2312"/>
                <w:szCs w:val="21"/>
              </w:rPr>
              <w:t>)</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线性代数M</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2021经管法3、6班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w:t>
            </w:r>
            <w:r>
              <w:rPr>
                <w:rFonts w:hint="default" w:ascii="仿宋_GB2312" w:eastAsia="仿宋_GB2312"/>
                <w:szCs w:val="21"/>
                <w:lang w:val="en-US"/>
              </w:rPr>
              <w:t>22</w:t>
            </w:r>
            <w:r>
              <w:rPr>
                <w:rFonts w:hint="eastAsia" w:ascii="仿宋_GB2312" w:eastAsia="仿宋_GB2312"/>
                <w:szCs w:val="21"/>
              </w:rPr>
              <w:t>-</w:t>
            </w:r>
            <w:r>
              <w:rPr>
                <w:rFonts w:ascii="仿宋_GB2312" w:eastAsia="仿宋_GB2312"/>
                <w:szCs w:val="21"/>
              </w:rPr>
              <w:t>20</w:t>
            </w:r>
            <w:r>
              <w:rPr>
                <w:rFonts w:hint="default" w:ascii="仿宋_GB2312" w:eastAsia="仿宋_GB2312"/>
                <w:szCs w:val="21"/>
                <w:lang w:val="en-US"/>
              </w:rPr>
              <w:t>23</w:t>
            </w:r>
            <w:r>
              <w:rPr>
                <w:rFonts w:hint="eastAsia" w:ascii="仿宋_GB2312" w:eastAsia="仿宋_GB2312"/>
                <w:szCs w:val="21"/>
              </w:rPr>
              <w:t>(一</w:t>
            </w:r>
            <w:r>
              <w:rPr>
                <w:rFonts w:ascii="仿宋_GB2312" w:eastAsia="仿宋_GB2312"/>
                <w:szCs w:val="21"/>
              </w:rPr>
              <w:t>)</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线性代数M</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2021经管法2、5班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w:t>
            </w:r>
            <w:r>
              <w:rPr>
                <w:rFonts w:ascii="仿宋_GB2312" w:eastAsia="仿宋_GB2312"/>
                <w:szCs w:val="21"/>
              </w:rPr>
              <w:t>0</w:t>
            </w:r>
            <w:r>
              <w:rPr>
                <w:rFonts w:hint="default" w:ascii="仿宋_GB2312" w:eastAsia="仿宋_GB2312"/>
                <w:szCs w:val="21"/>
                <w:lang w:val="en-US"/>
              </w:rPr>
              <w:t>22</w:t>
            </w:r>
            <w:r>
              <w:rPr>
                <w:rFonts w:hint="eastAsia" w:ascii="仿宋_GB2312" w:eastAsia="仿宋_GB2312"/>
                <w:szCs w:val="21"/>
              </w:rPr>
              <w:t>-</w:t>
            </w:r>
            <w:r>
              <w:rPr>
                <w:rFonts w:ascii="仿宋_GB2312" w:eastAsia="仿宋_GB2312"/>
                <w:szCs w:val="21"/>
              </w:rPr>
              <w:t>20</w:t>
            </w:r>
            <w:r>
              <w:rPr>
                <w:rFonts w:hint="default" w:ascii="仿宋_GB2312" w:eastAsia="仿宋_GB2312"/>
                <w:szCs w:val="21"/>
                <w:lang w:val="en-US"/>
              </w:rPr>
              <w:t>23</w:t>
            </w:r>
            <w:r>
              <w:rPr>
                <w:rFonts w:hint="eastAsia" w:ascii="仿宋_GB2312" w:eastAsia="仿宋_GB2312"/>
                <w:szCs w:val="21"/>
              </w:rPr>
              <w:t>(一</w:t>
            </w:r>
            <w:r>
              <w:rPr>
                <w:rFonts w:ascii="仿宋_GB2312" w:eastAsia="仿宋_GB2312"/>
                <w:szCs w:val="21"/>
              </w:rPr>
              <w:t>)</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线性代数M</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2021经管法7、8班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fldChar w:fldCharType="begin"/>
            </w:r>
            <w:r>
              <w:rPr>
                <w:rFonts w:ascii="仿宋_GB2312" w:eastAsia="仿宋_GB2312"/>
                <w:szCs w:val="21"/>
              </w:rPr>
              <w:instrText xml:space="preserve"> = sum(D5:D14) \* MERGEFORMAT </w:instrText>
            </w:r>
            <w:r>
              <w:rPr>
                <w:rFonts w:ascii="仿宋_GB2312" w:eastAsia="仿宋_GB2312"/>
                <w:szCs w:val="21"/>
              </w:rPr>
              <w:fldChar w:fldCharType="separate"/>
            </w:r>
            <w:r>
              <w:rPr>
                <w:rFonts w:ascii="仿宋_GB2312" w:eastAsia="仿宋_GB2312"/>
                <w:szCs w:val="21"/>
              </w:rPr>
              <w:t>552</w:t>
            </w:r>
            <w:r>
              <w:rPr>
                <w:rFonts w:ascii="仿宋_GB2312" w:eastAsia="仿宋_GB2312"/>
                <w:szCs w:val="21"/>
              </w:rPr>
              <w:fldChar w:fldCharType="end"/>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645"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268"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2041"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2041"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rPr>
            </w:pPr>
            <w:r>
              <w:rPr>
                <w:rFonts w:hint="eastAsia" w:ascii="仿宋_GB2312" w:eastAsia="仿宋_GB2312"/>
                <w:szCs w:val="21"/>
              </w:rPr>
              <w:t>2</w:t>
            </w:r>
            <w:r>
              <w:rPr>
                <w:rFonts w:ascii="仿宋_GB2312" w:eastAsia="仿宋_GB2312"/>
                <w:szCs w:val="21"/>
              </w:rPr>
              <w:t>01</w:t>
            </w:r>
            <w:r>
              <w:rPr>
                <w:rFonts w:hint="eastAsia" w:ascii="仿宋_GB2312" w:eastAsia="仿宋_GB2312"/>
                <w:szCs w:val="21"/>
                <w:lang w:val="en-US" w:eastAsia="zh-CN"/>
              </w:rPr>
              <w:t>6</w:t>
            </w:r>
            <w:r>
              <w:rPr>
                <w:rFonts w:hint="eastAsia" w:ascii="仿宋_GB2312" w:eastAsia="仿宋_GB2312"/>
                <w:szCs w:val="21"/>
              </w:rPr>
              <w:t>-</w:t>
            </w:r>
            <w:r>
              <w:rPr>
                <w:rFonts w:ascii="仿宋_GB2312" w:eastAsia="仿宋_GB2312"/>
                <w:szCs w:val="21"/>
              </w:rPr>
              <w:t>201</w:t>
            </w:r>
            <w:r>
              <w:rPr>
                <w:rFonts w:hint="eastAsia" w:ascii="仿宋_GB2312" w:eastAsia="仿宋_GB2312"/>
                <w:szCs w:val="21"/>
                <w:lang w:val="en-US" w:eastAsia="zh-CN"/>
              </w:rPr>
              <w:t>7(二)</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本科生毕业论文指导</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2013级本科生8人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2021-2022</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本科生毕业论文指导</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2018级本科生5人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2021-2022(一)</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大数据，矩阵与张量</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lang w:val="en-US" w:eastAsia="zh-CN"/>
              </w:rPr>
            </w:pPr>
            <w:r>
              <w:rPr>
                <w:rFonts w:ascii="仿宋_GB2312" w:eastAsia="仿宋_GB2312"/>
                <w:szCs w:val="21"/>
              </w:rPr>
              <w:t>创新创业周</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2021-2022(二)</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大数据，矩阵与张量</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ascii="仿宋_GB2312" w:eastAsia="仿宋_GB2312"/>
                <w:szCs w:val="21"/>
              </w:rPr>
              <w:t>创新创业周</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rPr>
              <w:t>2</w:t>
            </w:r>
            <w:r>
              <w:rPr>
                <w:rFonts w:ascii="仿宋_GB2312" w:eastAsia="仿宋_GB2312"/>
                <w:szCs w:val="21"/>
              </w:rPr>
              <w:t>0</w:t>
            </w:r>
            <w:r>
              <w:rPr>
                <w:rFonts w:hint="default" w:ascii="仿宋_GB2312" w:eastAsia="仿宋_GB2312"/>
                <w:szCs w:val="21"/>
                <w:lang w:val="en-US"/>
              </w:rPr>
              <w:t>22</w:t>
            </w:r>
            <w:r>
              <w:rPr>
                <w:rFonts w:hint="eastAsia" w:ascii="仿宋_GB2312" w:eastAsia="仿宋_GB2312"/>
                <w:szCs w:val="21"/>
              </w:rPr>
              <w:t>-</w:t>
            </w:r>
            <w:r>
              <w:rPr>
                <w:rFonts w:ascii="仿宋_GB2312" w:eastAsia="仿宋_GB2312"/>
                <w:szCs w:val="21"/>
              </w:rPr>
              <w:t>20</w:t>
            </w:r>
            <w:r>
              <w:rPr>
                <w:rFonts w:hint="default" w:ascii="仿宋_GB2312" w:eastAsia="仿宋_GB2312"/>
                <w:szCs w:val="21"/>
                <w:lang w:val="en-US"/>
              </w:rPr>
              <w:t>23</w:t>
            </w:r>
            <w:r>
              <w:rPr>
                <w:rFonts w:hint="eastAsia" w:ascii="仿宋_GB2312" w:eastAsia="仿宋_GB2312"/>
                <w:szCs w:val="21"/>
                <w:lang w:val="en-US" w:eastAsia="zh-CN"/>
              </w:rPr>
              <w:t>(一)</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本科生毕业论文指导</w:t>
            </w: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2019级本科生8人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26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041"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fldChar w:fldCharType="begin"/>
            </w:r>
            <w:r>
              <w:rPr>
                <w:rFonts w:ascii="仿宋_GB2312" w:eastAsia="仿宋_GB2312"/>
                <w:szCs w:val="21"/>
              </w:rPr>
              <w:instrText xml:space="preserve"> = sum(D22:D26) \* MERGEFORMAT </w:instrText>
            </w:r>
            <w:r>
              <w:rPr>
                <w:rFonts w:ascii="仿宋_GB2312" w:eastAsia="仿宋_GB2312"/>
                <w:szCs w:val="21"/>
              </w:rPr>
              <w:fldChar w:fldCharType="separate"/>
            </w:r>
            <w:r>
              <w:rPr>
                <w:rFonts w:ascii="仿宋_GB2312" w:eastAsia="仿宋_GB2312"/>
                <w:szCs w:val="21"/>
              </w:rPr>
              <w:t>94</w:t>
            </w:r>
            <w:r>
              <w:rPr>
                <w:rFonts w:ascii="仿宋_GB2312" w:eastAsia="仿宋_GB2312"/>
                <w:szCs w:val="21"/>
              </w:rPr>
              <w:fldChar w:fldCharType="end"/>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szCs w:val="21"/>
              </w:rPr>
            </w:pPr>
          </w:p>
          <w:p>
            <w:pPr>
              <w:spacing w:before="156" w:beforeLines="50" w:line="360" w:lineRule="exact"/>
              <w:rPr>
                <w:rFonts w:ascii="仿宋_GB2312" w:eastAsia="仿宋_GB2312"/>
                <w:b/>
                <w:szCs w:val="21"/>
              </w:rPr>
            </w:pPr>
            <w:r>
              <w:rPr>
                <w:rFonts w:hint="eastAsia" w:ascii="仿宋_GB2312" w:eastAsia="仿宋_GB2312"/>
                <w:b/>
                <w:szCs w:val="21"/>
              </w:rPr>
              <w:t>（1）指导实习</w:t>
            </w:r>
          </w:p>
          <w:p>
            <w:pPr>
              <w:spacing w:line="360" w:lineRule="exact"/>
              <w:ind w:firstLine="410"/>
              <w:rPr>
                <w:rFonts w:hint="eastAsia" w:ascii="仿宋_GB2312" w:eastAsia="仿宋_GB2312"/>
                <w:szCs w:val="21"/>
                <w:lang w:val="en-US" w:eastAsia="zh-CN"/>
              </w:rPr>
            </w:pPr>
            <w:r>
              <w:rPr>
                <w:rFonts w:hint="eastAsia" w:ascii="仿宋_GB2312" w:eastAsia="仿宋_GB2312"/>
                <w:szCs w:val="21"/>
                <w:lang w:val="en-US" w:eastAsia="zh-CN"/>
              </w:rPr>
              <w:t>2016-2017（二）指导2013级信息与计算科学专业的8名学生的实习；</w:t>
            </w:r>
          </w:p>
          <w:p>
            <w:pPr>
              <w:spacing w:line="360" w:lineRule="exact"/>
              <w:ind w:firstLine="410"/>
              <w:rPr>
                <w:rFonts w:hint="eastAsia" w:ascii="仿宋_GB2312" w:eastAsia="仿宋_GB2312"/>
                <w:szCs w:val="21"/>
                <w:lang w:val="en-US" w:eastAsia="zh-CN"/>
              </w:rPr>
            </w:pPr>
            <w:r>
              <w:rPr>
                <w:rFonts w:hint="eastAsia" w:ascii="仿宋_GB2312" w:eastAsia="仿宋_GB2312"/>
                <w:szCs w:val="21"/>
                <w:lang w:val="en-US" w:eastAsia="zh-CN"/>
              </w:rPr>
              <w:t>2021-2022学年指导2018级大数据专业的8名学生的实习；</w:t>
            </w:r>
          </w:p>
          <w:p>
            <w:pPr>
              <w:spacing w:line="360" w:lineRule="exact"/>
              <w:ind w:firstLine="410"/>
              <w:rPr>
                <w:rFonts w:ascii="仿宋_GB2312" w:eastAsia="仿宋_GB2312"/>
                <w:szCs w:val="21"/>
              </w:rPr>
            </w:pPr>
            <w:r>
              <w:rPr>
                <w:rFonts w:hint="eastAsia" w:ascii="仿宋_GB2312" w:eastAsia="仿宋_GB2312"/>
                <w:szCs w:val="21"/>
                <w:lang w:val="en-US" w:eastAsia="zh-CN"/>
              </w:rPr>
              <w:t>2022-2023（一）指导2019级大数据专业的8名学生的实习。</w:t>
            </w:r>
          </w:p>
          <w:p>
            <w:pPr>
              <w:spacing w:before="156" w:beforeLines="50" w:line="360" w:lineRule="exact"/>
              <w:rPr>
                <w:rFonts w:ascii="仿宋_GB2312" w:eastAsia="仿宋_GB2312"/>
                <w:b/>
                <w:szCs w:val="21"/>
              </w:rPr>
            </w:pPr>
            <w:r>
              <w:rPr>
                <w:rFonts w:hint="eastAsia" w:ascii="仿宋_GB2312" w:eastAsia="仿宋_GB2312"/>
                <w:b/>
                <w:szCs w:val="21"/>
              </w:rPr>
              <w:t>（2）指导毕业论文</w:t>
            </w:r>
          </w:p>
          <w:p>
            <w:pPr>
              <w:spacing w:line="360" w:lineRule="exact"/>
              <w:ind w:firstLine="410"/>
              <w:rPr>
                <w:rFonts w:hint="eastAsia" w:ascii="仿宋_GB2312" w:eastAsia="仿宋_GB2312"/>
                <w:szCs w:val="21"/>
                <w:lang w:val="en-US" w:eastAsia="zh-CN"/>
              </w:rPr>
            </w:pPr>
            <w:r>
              <w:rPr>
                <w:rFonts w:hint="eastAsia" w:ascii="仿宋_GB2312" w:eastAsia="仿宋_GB2312"/>
                <w:szCs w:val="21"/>
                <w:lang w:val="en-US" w:eastAsia="zh-CN"/>
              </w:rPr>
              <w:t>2016-2017（二）指导2013级信息与计算科学专业的8名学生的毕业论文；</w:t>
            </w:r>
          </w:p>
          <w:p>
            <w:pPr>
              <w:spacing w:line="360" w:lineRule="exact"/>
              <w:ind w:firstLine="410"/>
              <w:rPr>
                <w:rFonts w:hint="eastAsia" w:ascii="仿宋_GB2312" w:eastAsia="仿宋_GB2312"/>
                <w:szCs w:val="21"/>
                <w:lang w:val="en-US" w:eastAsia="zh-CN"/>
              </w:rPr>
            </w:pPr>
            <w:r>
              <w:rPr>
                <w:rFonts w:hint="eastAsia" w:ascii="仿宋_GB2312" w:eastAsia="仿宋_GB2312"/>
                <w:szCs w:val="21"/>
                <w:lang w:val="en-US" w:eastAsia="zh-CN"/>
              </w:rPr>
              <w:t>2021-2022学年指导2018级3名大数据专业级2名数学与应用数学专业，共5名学生的毕业论文；</w:t>
            </w:r>
          </w:p>
          <w:p>
            <w:pPr>
              <w:spacing w:line="360" w:lineRule="exact"/>
              <w:ind w:firstLine="410"/>
              <w:rPr>
                <w:rFonts w:ascii="仿宋_GB2312" w:eastAsia="仿宋_GB2312"/>
                <w:szCs w:val="21"/>
              </w:rPr>
            </w:pPr>
            <w:r>
              <w:rPr>
                <w:rFonts w:hint="eastAsia" w:ascii="仿宋_GB2312" w:eastAsia="仿宋_GB2312"/>
                <w:szCs w:val="21"/>
                <w:lang w:val="en-US" w:eastAsia="zh-CN"/>
              </w:rPr>
              <w:t>2022-2023（一）指导2019级数学与应用数学专业的8名学生的毕业论文。</w:t>
            </w:r>
          </w:p>
          <w:p>
            <w:pPr>
              <w:spacing w:before="156" w:beforeLines="50" w:line="360" w:lineRule="exact"/>
              <w:rPr>
                <w:rFonts w:hint="eastAsia" w:ascii="仿宋_GB2312" w:eastAsia="仿宋_GB2312"/>
                <w:b/>
                <w:szCs w:val="21"/>
                <w:lang w:val="en-US" w:eastAsia="zh-CN"/>
              </w:rPr>
            </w:pPr>
            <w:r>
              <w:rPr>
                <w:rFonts w:hint="eastAsia" w:ascii="仿宋_GB2312" w:eastAsia="仿宋_GB2312"/>
                <w:b/>
                <w:szCs w:val="21"/>
              </w:rPr>
              <w:t>（3）创新创业周培训</w:t>
            </w:r>
            <w:r>
              <w:rPr>
                <w:rFonts w:hint="eastAsia" w:ascii="仿宋_GB2312" w:eastAsia="仿宋_GB2312"/>
                <w:b/>
                <w:szCs w:val="21"/>
                <w:lang w:val="en-US" w:eastAsia="zh-CN"/>
              </w:rPr>
              <w:t>讲座</w:t>
            </w:r>
          </w:p>
          <w:p>
            <w:pPr>
              <w:spacing w:line="360" w:lineRule="exact"/>
              <w:ind w:firstLine="420" w:firstLineChars="200"/>
              <w:rPr>
                <w:rFonts w:hint="eastAsia" w:ascii="仿宋_GB2312" w:eastAsia="仿宋_GB2312"/>
                <w:szCs w:val="21"/>
                <w:lang w:eastAsia="zh-CN"/>
              </w:rPr>
            </w:pPr>
            <w:r>
              <w:rPr>
                <w:rFonts w:hint="eastAsia" w:ascii="仿宋_GB2312" w:eastAsia="仿宋_GB2312"/>
                <w:szCs w:val="21"/>
              </w:rPr>
              <w:t>在2</w:t>
            </w:r>
            <w:r>
              <w:rPr>
                <w:rFonts w:ascii="仿宋_GB2312" w:eastAsia="仿宋_GB2312"/>
                <w:szCs w:val="21"/>
              </w:rPr>
              <w:t>02</w:t>
            </w:r>
            <w:r>
              <w:rPr>
                <w:rFonts w:hint="eastAsia" w:ascii="仿宋_GB2312" w:eastAsia="仿宋_GB2312"/>
                <w:szCs w:val="21"/>
                <w:lang w:val="en-US" w:eastAsia="zh-CN"/>
              </w:rPr>
              <w:t>1</w:t>
            </w:r>
            <w:r>
              <w:rPr>
                <w:rFonts w:hint="eastAsia" w:ascii="仿宋_GB2312" w:eastAsia="仿宋_GB2312"/>
                <w:szCs w:val="21"/>
              </w:rPr>
              <w:t>-</w:t>
            </w:r>
            <w:r>
              <w:rPr>
                <w:rFonts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(一</w:t>
            </w:r>
            <w:r>
              <w:rPr>
                <w:rFonts w:ascii="仿宋_GB2312" w:eastAsia="仿宋_GB2312"/>
                <w:szCs w:val="21"/>
              </w:rPr>
              <w:t>)学年的创新创业周给</w:t>
            </w:r>
            <w:r>
              <w:rPr>
                <w:rFonts w:hint="eastAsia" w:ascii="仿宋_GB2312" w:eastAsia="仿宋_GB2312"/>
                <w:szCs w:val="21"/>
                <w:lang w:val="en-US" w:eastAsia="zh-CN"/>
              </w:rPr>
              <w:t>大数据专业</w:t>
            </w:r>
            <w:r>
              <w:rPr>
                <w:rFonts w:ascii="仿宋_GB2312" w:eastAsia="仿宋_GB2312"/>
                <w:szCs w:val="21"/>
              </w:rPr>
              <w:t>学生</w:t>
            </w:r>
            <w:r>
              <w:rPr>
                <w:rFonts w:hint="eastAsia" w:ascii="仿宋_GB2312" w:eastAsia="仿宋_GB2312"/>
                <w:szCs w:val="21"/>
                <w:lang w:val="en-US" w:eastAsia="zh-CN"/>
              </w:rPr>
              <w:t>讲授</w:t>
            </w:r>
            <w:r>
              <w:rPr>
                <w:rFonts w:hint="eastAsia" w:ascii="仿宋_GB2312" w:eastAsia="仿宋_GB2312"/>
                <w:szCs w:val="21"/>
              </w:rPr>
              <w:t>“</w:t>
            </w:r>
            <w:r>
              <w:rPr>
                <w:rFonts w:hint="eastAsia" w:ascii="仿宋_GB2312" w:eastAsia="仿宋_GB2312"/>
                <w:szCs w:val="21"/>
                <w:lang w:val="en-US" w:eastAsia="zh-CN"/>
              </w:rPr>
              <w:t>大数据，矩阵与张量</w:t>
            </w:r>
            <w:r>
              <w:rPr>
                <w:rFonts w:hint="eastAsia" w:ascii="仿宋_GB2312" w:eastAsia="仿宋_GB2312"/>
                <w:szCs w:val="21"/>
              </w:rPr>
              <w:t>”</w:t>
            </w:r>
            <w:r>
              <w:rPr>
                <w:rFonts w:hint="eastAsia" w:ascii="仿宋_GB2312" w:eastAsia="仿宋_GB2312"/>
                <w:szCs w:val="21"/>
                <w:lang w:eastAsia="zh-CN"/>
              </w:rPr>
              <w:t>；</w:t>
            </w:r>
          </w:p>
          <w:p>
            <w:pPr>
              <w:spacing w:line="360" w:lineRule="exact"/>
              <w:ind w:firstLine="420" w:firstLineChars="200"/>
              <w:rPr>
                <w:rFonts w:ascii="仿宋_GB2312" w:eastAsia="仿宋_GB2312"/>
                <w:szCs w:val="21"/>
              </w:rPr>
            </w:pPr>
            <w:r>
              <w:rPr>
                <w:rFonts w:hint="eastAsia" w:ascii="仿宋_GB2312" w:eastAsia="仿宋_GB2312"/>
                <w:szCs w:val="21"/>
              </w:rPr>
              <w:t>在2</w:t>
            </w:r>
            <w:r>
              <w:rPr>
                <w:rFonts w:ascii="仿宋_GB2312" w:eastAsia="仿宋_GB2312"/>
                <w:szCs w:val="21"/>
              </w:rPr>
              <w:t>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w:t>
            </w:r>
            <w:r>
              <w:rPr>
                <w:rFonts w:hint="eastAsia" w:ascii="仿宋_GB2312" w:eastAsia="仿宋_GB2312"/>
                <w:szCs w:val="21"/>
                <w:lang w:val="en-US" w:eastAsia="zh-CN"/>
              </w:rPr>
              <w:t>二</w:t>
            </w:r>
            <w:r>
              <w:rPr>
                <w:rFonts w:ascii="仿宋_GB2312" w:eastAsia="仿宋_GB2312"/>
                <w:szCs w:val="21"/>
              </w:rPr>
              <w:t>)学年的创新创业周给</w:t>
            </w:r>
            <w:r>
              <w:rPr>
                <w:rFonts w:hint="eastAsia" w:ascii="仿宋_GB2312" w:eastAsia="仿宋_GB2312"/>
                <w:szCs w:val="21"/>
                <w:lang w:val="en-US" w:eastAsia="zh-CN"/>
              </w:rPr>
              <w:t>大数据专业</w:t>
            </w:r>
            <w:r>
              <w:rPr>
                <w:rFonts w:ascii="仿宋_GB2312" w:eastAsia="仿宋_GB2312"/>
                <w:szCs w:val="21"/>
              </w:rPr>
              <w:t>学生</w:t>
            </w:r>
            <w:r>
              <w:rPr>
                <w:rFonts w:hint="eastAsia" w:ascii="仿宋_GB2312" w:eastAsia="仿宋_GB2312"/>
                <w:szCs w:val="21"/>
                <w:lang w:val="en-US" w:eastAsia="zh-CN"/>
              </w:rPr>
              <w:t>讲授</w:t>
            </w:r>
            <w:r>
              <w:rPr>
                <w:rFonts w:hint="eastAsia" w:ascii="仿宋_GB2312" w:eastAsia="仿宋_GB2312"/>
                <w:szCs w:val="21"/>
              </w:rPr>
              <w:t>“</w:t>
            </w:r>
            <w:r>
              <w:rPr>
                <w:rFonts w:hint="eastAsia" w:ascii="仿宋_GB2312" w:eastAsia="仿宋_GB2312"/>
                <w:szCs w:val="21"/>
                <w:lang w:val="en-US" w:eastAsia="zh-CN"/>
              </w:rPr>
              <w:t>大数据，矩阵与张量</w:t>
            </w:r>
            <w:r>
              <w:rPr>
                <w:rFonts w:hint="eastAsia" w:ascii="仿宋_GB2312" w:eastAsia="仿宋_GB2312"/>
                <w:szCs w:val="21"/>
              </w:rPr>
              <w:t>”。</w:t>
            </w:r>
          </w:p>
          <w:p>
            <w:pPr>
              <w:spacing w:before="156" w:beforeLines="50" w:line="360" w:lineRule="exact"/>
              <w:rPr>
                <w:rFonts w:ascii="仿宋_GB2312" w:eastAsia="仿宋_GB2312"/>
                <w:b/>
                <w:szCs w:val="21"/>
              </w:rPr>
            </w:pPr>
            <w:r>
              <w:rPr>
                <w:rFonts w:hint="eastAsia" w:ascii="仿宋_GB2312" w:eastAsia="仿宋_GB2312"/>
                <w:b/>
                <w:szCs w:val="21"/>
              </w:rPr>
              <w:t>（4）指导竞竞赛</w:t>
            </w:r>
          </w:p>
          <w:p>
            <w:pPr>
              <w:spacing w:line="360" w:lineRule="exact"/>
              <w:ind w:firstLine="420"/>
              <w:rPr>
                <w:rFonts w:ascii="仿宋_GB2312" w:eastAsia="仿宋_GB2312"/>
                <w:szCs w:val="21"/>
              </w:rPr>
            </w:pPr>
            <w:r>
              <w:rPr>
                <w:rFonts w:hint="eastAsia" w:ascii="仿宋_GB2312" w:eastAsia="仿宋_GB2312"/>
                <w:szCs w:val="21"/>
              </w:rPr>
              <w:t>2022年指导数学建模竞赛，高教社杯省级二等奖1项。</w:t>
            </w:r>
          </w:p>
          <w:p>
            <w:pPr>
              <w:spacing w:line="240" w:lineRule="exact"/>
              <w:rPr>
                <w:rFonts w:hint="eastAsia" w:ascii="仿宋_GB2312" w:eastAsia="仿宋_GB2312"/>
                <w:szCs w:val="21"/>
                <w:lang w:val="en-US" w:eastAsia="zh-CN"/>
              </w:rPr>
            </w:pPr>
          </w:p>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20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1</w:t>
            </w: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20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20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rPr>
              <w:t>　</w:t>
            </w:r>
            <w:r>
              <w:rPr>
                <w:rFonts w:hint="eastAsia" w:ascii="仿宋_GB2312" w:hAnsi="宋体" w:eastAsia="仿宋_GB2312" w:cs="宋体"/>
                <w:kern w:val="0"/>
                <w:sz w:val="24"/>
                <w:szCs w:val="24"/>
                <w:lang w:val="en-US" w:eastAsia="zh-CN"/>
              </w:rPr>
              <w:t>220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r>
              <w:rPr>
                <w:rFonts w:cs="宋体" w:asciiTheme="minorEastAsia" w:hAnsiTheme="minorEastAsia"/>
                <w:kern w:val="0"/>
                <w:szCs w:val="21"/>
              </w:rPr>
              <w:t>高教社杯数学建模竞赛（</w:t>
            </w:r>
            <w:r>
              <w:rPr>
                <w:rFonts w:hint="eastAsia" w:cs="宋体" w:asciiTheme="minorEastAsia" w:hAnsiTheme="minorEastAsia"/>
                <w:kern w:val="0"/>
                <w:szCs w:val="21"/>
                <w:lang w:val="en-US" w:eastAsia="zh-CN"/>
              </w:rPr>
              <w:t>王凯越</w:t>
            </w:r>
            <w:r>
              <w:rPr>
                <w:rFonts w:hint="eastAsia" w:cs="宋体" w:asciiTheme="minorEastAsia" w:hAnsiTheme="minorEastAsia"/>
                <w:kern w:val="0"/>
                <w:szCs w:val="21"/>
              </w:rPr>
              <w:t>、</w:t>
            </w:r>
            <w:r>
              <w:rPr>
                <w:rFonts w:hint="eastAsia" w:cs="宋体" w:asciiTheme="minorEastAsia" w:hAnsiTheme="minorEastAsia"/>
                <w:kern w:val="0"/>
                <w:szCs w:val="21"/>
                <w:lang w:val="en-US" w:eastAsia="zh-CN"/>
              </w:rPr>
              <w:t>孔胜男、刘越</w:t>
            </w:r>
            <w:r>
              <w:rPr>
                <w:rFonts w:cs="宋体" w:asciiTheme="minorEastAsia" w:hAnsiTheme="minorEastAsia"/>
                <w:kern w:val="0"/>
                <w:szCs w:val="21"/>
              </w:rPr>
              <w:t>）</w:t>
            </w:r>
          </w:p>
        </w:tc>
        <w:tc>
          <w:tcPr>
            <w:tcW w:w="704" w:type="dxa"/>
            <w:vAlign w:val="center"/>
          </w:tcPr>
          <w:p>
            <w:pPr>
              <w:jc w:val="center"/>
              <w:rPr>
                <w:rFonts w:cs="宋体" w:asciiTheme="minorEastAsia" w:hAnsiTheme="minorEastAsia"/>
                <w:kern w:val="0"/>
                <w:szCs w:val="21"/>
              </w:rPr>
            </w:pPr>
            <w:r>
              <w:rPr>
                <w:rFonts w:cs="宋体" w:asciiTheme="minorEastAsia" w:hAnsiTheme="minorEastAsia"/>
                <w:kern w:val="0"/>
                <w:szCs w:val="21"/>
              </w:rPr>
              <w:t>省级</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中国工业与应用数学学会</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2022</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w:t>
            </w: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2100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2000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1520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800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720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3620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3620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108"/>
        <w:gridCol w:w="860"/>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108" w:type="dxa"/>
            <w:tcBorders>
              <w:tl2br w:val="nil"/>
              <w:tr2bl w:val="nil"/>
            </w:tcBorders>
            <w:vAlign w:val="center"/>
          </w:tcPr>
          <w:p>
            <w:pPr>
              <w:jc w:val="center"/>
              <w:rPr>
                <w:b/>
                <w:bCs/>
              </w:rPr>
            </w:pPr>
            <w:r>
              <w:rPr>
                <w:rFonts w:hint="eastAsia"/>
                <w:b/>
                <w:bCs/>
              </w:rPr>
              <w:t>批准号</w:t>
            </w:r>
          </w:p>
        </w:tc>
        <w:tc>
          <w:tcPr>
            <w:tcW w:w="860"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default" w:ascii="仿宋_GB2312" w:eastAsia="仿宋_GB2312"/>
                <w:szCs w:val="21"/>
                <w:lang w:val="en-US" w:eastAsia="zh-CN"/>
              </w:rPr>
              <w:t>1</w:t>
            </w:r>
          </w:p>
        </w:tc>
        <w:tc>
          <w:tcPr>
            <w:tcW w:w="736"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default" w:ascii="仿宋_GB2312" w:eastAsia="仿宋_GB2312"/>
                <w:szCs w:val="21"/>
                <w:lang w:val="en-US" w:eastAsia="zh-CN"/>
              </w:rPr>
              <w:t>A3</w:t>
            </w:r>
          </w:p>
        </w:tc>
        <w:tc>
          <w:tcPr>
            <w:tcW w:w="2196"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矩阵酉不变范数不等式的理论及应用研究</w:t>
            </w:r>
          </w:p>
        </w:tc>
        <w:tc>
          <w:tcPr>
            <w:tcW w:w="1108" w:type="dxa"/>
            <w:tcBorders>
              <w:tl2br w:val="nil"/>
              <w:tr2bl w:val="nil"/>
            </w:tcBorders>
            <w:vAlign w:val="center"/>
          </w:tcPr>
          <w:p>
            <w:r>
              <w:rPr>
                <w:rFonts w:hint="eastAsia" w:ascii="仿宋_GB2312" w:eastAsia="仿宋_GB2312"/>
                <w:szCs w:val="21"/>
                <w:lang w:val="en-US" w:eastAsia="zh-CN"/>
              </w:rPr>
              <w:t>12261030</w:t>
            </w:r>
          </w:p>
        </w:tc>
        <w:tc>
          <w:tcPr>
            <w:tcW w:w="860"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国家自然科学基金</w:t>
            </w:r>
          </w:p>
        </w:tc>
        <w:tc>
          <w:tcPr>
            <w:tcW w:w="850"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default" w:ascii="仿宋_GB2312" w:eastAsia="仿宋_GB2312"/>
                <w:szCs w:val="21"/>
                <w:lang w:val="en-US" w:eastAsia="zh-CN"/>
              </w:rPr>
              <w:t>2022</w:t>
            </w:r>
            <w:r>
              <w:rPr>
                <w:rFonts w:hint="eastAsia" w:ascii="仿宋_GB2312" w:eastAsia="仿宋_GB2312"/>
                <w:szCs w:val="21"/>
                <w:lang w:val="en-US" w:eastAsia="zh-CN"/>
              </w:rPr>
              <w:t>年8月</w:t>
            </w:r>
          </w:p>
        </w:tc>
        <w:tc>
          <w:tcPr>
            <w:tcW w:w="851"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29</w:t>
            </w:r>
          </w:p>
        </w:tc>
        <w:tc>
          <w:tcPr>
            <w:tcW w:w="709"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是</w:t>
            </w:r>
          </w:p>
        </w:tc>
        <w:tc>
          <w:tcPr>
            <w:tcW w:w="708"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否</w:t>
            </w:r>
          </w:p>
        </w:tc>
        <w:tc>
          <w:tcPr>
            <w:tcW w:w="709"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2</w:t>
            </w:r>
          </w:p>
        </w:tc>
        <w:tc>
          <w:tcPr>
            <w:tcW w:w="736"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C3</w:t>
            </w:r>
          </w:p>
        </w:tc>
        <w:tc>
          <w:tcPr>
            <w:tcW w:w="2196"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关于张量乘积矩阵的线性保持问题的研究</w:t>
            </w:r>
          </w:p>
        </w:tc>
        <w:tc>
          <w:tcPr>
            <w:tcW w:w="1108"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120MS032</w:t>
            </w:r>
          </w:p>
        </w:tc>
        <w:tc>
          <w:tcPr>
            <w:tcW w:w="860"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海南省科技厅</w:t>
            </w:r>
          </w:p>
        </w:tc>
        <w:tc>
          <w:tcPr>
            <w:tcW w:w="850"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2020年12月</w:t>
            </w:r>
          </w:p>
        </w:tc>
        <w:tc>
          <w:tcPr>
            <w:tcW w:w="851"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5</w:t>
            </w:r>
          </w:p>
        </w:tc>
        <w:tc>
          <w:tcPr>
            <w:tcW w:w="709"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是</w:t>
            </w:r>
          </w:p>
        </w:tc>
        <w:tc>
          <w:tcPr>
            <w:tcW w:w="708" w:type="dxa"/>
            <w:tcBorders>
              <w:tl2br w:val="nil"/>
              <w:tr2bl w:val="nil"/>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否</w:t>
            </w:r>
          </w:p>
        </w:tc>
        <w:tc>
          <w:tcPr>
            <w:tcW w:w="709" w:type="dxa"/>
            <w:tcBorders>
              <w:tl2br w:val="nil"/>
              <w:tr2bl w:val="nil"/>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tc>
        <w:tc>
          <w:tcPr>
            <w:tcW w:w="736" w:type="dxa"/>
            <w:tcBorders>
              <w:bottom w:val="single" w:color="000000" w:sz="12" w:space="0"/>
              <w:tl2br w:val="nil"/>
              <w:tr2bl w:val="nil"/>
            </w:tcBorders>
            <w:vAlign w:val="center"/>
          </w:tcPr>
          <w:p/>
        </w:tc>
        <w:tc>
          <w:tcPr>
            <w:tcW w:w="2196" w:type="dxa"/>
            <w:tcBorders>
              <w:bottom w:val="single" w:color="000000" w:sz="12" w:space="0"/>
              <w:tl2br w:val="nil"/>
              <w:tr2bl w:val="nil"/>
            </w:tcBorders>
            <w:vAlign w:val="center"/>
          </w:tcPr>
          <w:p/>
        </w:tc>
        <w:tc>
          <w:tcPr>
            <w:tcW w:w="1108" w:type="dxa"/>
            <w:tcBorders>
              <w:bottom w:val="single" w:color="000000" w:sz="12" w:space="0"/>
              <w:tl2br w:val="nil"/>
              <w:tr2bl w:val="nil"/>
            </w:tcBorders>
            <w:vAlign w:val="center"/>
          </w:tcPr>
          <w:p/>
        </w:tc>
        <w:tc>
          <w:tcPr>
            <w:tcW w:w="860" w:type="dxa"/>
            <w:tcBorders>
              <w:bottom w:val="single" w:color="000000" w:sz="12" w:space="0"/>
              <w:tl2br w:val="nil"/>
              <w:tr2bl w:val="nil"/>
            </w:tcBorders>
            <w:vAlign w:val="center"/>
          </w:tcPr>
          <w:p/>
        </w:tc>
        <w:tc>
          <w:tcPr>
            <w:tcW w:w="850" w:type="dxa"/>
            <w:tcBorders>
              <w:bottom w:val="single" w:color="000000" w:sz="12" w:space="0"/>
              <w:tl2br w:val="nil"/>
              <w:tr2bl w:val="nil"/>
            </w:tcBorders>
            <w:vAlign w:val="center"/>
          </w:tcPr>
          <w:p/>
        </w:tc>
        <w:tc>
          <w:tcPr>
            <w:tcW w:w="851"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c>
          <w:tcPr>
            <w:tcW w:w="708"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tc>
        <w:tc>
          <w:tcPr>
            <w:tcW w:w="736" w:type="dxa"/>
            <w:tcBorders>
              <w:top w:val="single" w:color="000000" w:sz="12" w:space="0"/>
            </w:tcBorders>
            <w:vAlign w:val="center"/>
          </w:tcPr>
          <w:p/>
        </w:tc>
        <w:tc>
          <w:tcPr>
            <w:tcW w:w="2196" w:type="dxa"/>
            <w:tcBorders>
              <w:top w:val="single" w:color="000000" w:sz="12" w:space="0"/>
            </w:tcBorders>
            <w:vAlign w:val="center"/>
          </w:tcPr>
          <w:p/>
        </w:tc>
        <w:tc>
          <w:tcPr>
            <w:tcW w:w="1108" w:type="dxa"/>
            <w:tcBorders>
              <w:top w:val="single" w:color="000000" w:sz="12" w:space="0"/>
            </w:tcBorders>
            <w:vAlign w:val="center"/>
          </w:tcPr>
          <w:p/>
        </w:tc>
        <w:tc>
          <w:tcPr>
            <w:tcW w:w="860" w:type="dxa"/>
            <w:tcBorders>
              <w:top w:val="single" w:color="000000" w:sz="12" w:space="0"/>
            </w:tcBorders>
            <w:vAlign w:val="center"/>
          </w:tcPr>
          <w:p/>
        </w:tc>
        <w:tc>
          <w:tcPr>
            <w:tcW w:w="850" w:type="dxa"/>
            <w:tcBorders>
              <w:top w:val="single" w:color="000000" w:sz="12" w:space="0"/>
            </w:tcBorders>
            <w:vAlign w:val="center"/>
          </w:tcPr>
          <w:p/>
        </w:tc>
        <w:tc>
          <w:tcPr>
            <w:tcW w:w="851" w:type="dxa"/>
            <w:tcBorders>
              <w:top w:val="single" w:color="000000" w:sz="12" w:space="0"/>
            </w:tcBorders>
            <w:vAlign w:val="center"/>
          </w:tcPr>
          <w:p/>
        </w:tc>
        <w:tc>
          <w:tcPr>
            <w:tcW w:w="709" w:type="dxa"/>
            <w:tcBorders>
              <w:top w:val="single" w:color="000000" w:sz="12" w:space="0"/>
            </w:tcBorders>
            <w:vAlign w:val="center"/>
          </w:tcPr>
          <w:p/>
        </w:tc>
        <w:tc>
          <w:tcPr>
            <w:tcW w:w="708" w:type="dxa"/>
            <w:tcBorders>
              <w:top w:val="single" w:color="000000" w:sz="12" w:space="0"/>
            </w:tcBorders>
            <w:vAlign w:val="center"/>
          </w:tcP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108" w:type="dxa"/>
            <w:tcBorders>
              <w:tl2br w:val="nil"/>
              <w:tr2bl w:val="nil"/>
            </w:tcBorders>
            <w:vAlign w:val="center"/>
          </w:tcPr>
          <w:p/>
        </w:tc>
        <w:tc>
          <w:tcPr>
            <w:tcW w:w="860"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108" w:type="dxa"/>
            <w:tcBorders>
              <w:tl2br w:val="nil"/>
              <w:tr2bl w:val="nil"/>
            </w:tcBorders>
            <w:vAlign w:val="center"/>
          </w:tcPr>
          <w:p/>
        </w:tc>
        <w:tc>
          <w:tcPr>
            <w:tcW w:w="860"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867"/>
        <w:gridCol w:w="1980"/>
        <w:gridCol w:w="1657"/>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867"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98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657"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1</w:t>
            </w:r>
          </w:p>
        </w:tc>
        <w:tc>
          <w:tcPr>
            <w:tcW w:w="867" w:type="dxa"/>
            <w:tcBorders>
              <w:tl2br w:val="nil"/>
              <w:tr2bl w:val="nil"/>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D</w:t>
            </w:r>
          </w:p>
        </w:tc>
        <w:tc>
          <w:tcPr>
            <w:tcW w:w="1980" w:type="dxa"/>
            <w:tcBorders>
              <w:tl2br w:val="nil"/>
              <w:tr2bl w:val="nil"/>
            </w:tcBorders>
            <w:vAlign w:val="center"/>
          </w:tcPr>
          <w:p>
            <w:pPr>
              <w:spacing w:line="240" w:lineRule="exact"/>
              <w:jc w:val="center"/>
              <w:rPr>
                <w:rFonts w:hint="eastAsia" w:ascii="仿宋_GB2312" w:eastAsia="仿宋_GB2312"/>
                <w:szCs w:val="21"/>
                <w:lang w:val="en-US" w:eastAsia="zh-CN"/>
              </w:rPr>
            </w:pPr>
            <w:r>
              <w:rPr>
                <w:rFonts w:hint="default" w:ascii="Times New Roman" w:hAnsi="Times New Roman" w:eastAsia="仿宋_GB2312" w:cs="Times New Roman"/>
                <w:szCs w:val="21"/>
                <w:lang w:val="en-US" w:eastAsia="zh-CN"/>
              </w:rPr>
              <w:t>Some determinantal inequalities for accretive-dissipative matrices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Journal of Inequalities and Applications，</w:t>
            </w:r>
          </w:p>
          <w:p>
            <w:pPr>
              <w:spacing w:line="240" w:lineRule="exact"/>
              <w:jc w:val="center"/>
            </w:pPr>
            <w:r>
              <w:rPr>
                <w:rFonts w:hint="eastAsia" w:ascii="Times New Roman" w:hAnsi="Times New Roman" w:eastAsia="仿宋_GB2312" w:cs="Times New Roman"/>
                <w:szCs w:val="21"/>
                <w:lang w:val="en-US" w:eastAsia="zh-CN"/>
              </w:rPr>
              <w:t>2013, 2013:512</w:t>
            </w:r>
          </w:p>
        </w:tc>
        <w:tc>
          <w:tcPr>
            <w:tcW w:w="796" w:type="dxa"/>
            <w:tcBorders>
              <w:tl2br w:val="nil"/>
              <w:tr2bl w:val="nil"/>
            </w:tcBorders>
            <w:vAlign w:val="center"/>
          </w:tcPr>
          <w:p>
            <w:pPr>
              <w:widowControl/>
              <w:jc w:val="center"/>
              <w:rPr>
                <w:rFonts w:hint="eastAsia"/>
                <w:lang w:val="en-US" w:eastAsia="zh-CN"/>
              </w:rPr>
            </w:pPr>
            <w:r>
              <w:rPr>
                <w:rFonts w:hint="eastAsia"/>
                <w:lang w:val="en-US" w:eastAsia="zh-CN"/>
              </w:rPr>
              <w:t>100%</w:t>
            </w:r>
          </w:p>
          <w:p>
            <w:pPr>
              <w:widowControl/>
              <w:jc w:val="center"/>
              <w:rPr>
                <w:rFonts w:hint="default"/>
                <w:lang w:val="en-US" w:eastAsia="zh-CN"/>
              </w:rPr>
            </w:pPr>
            <w:r>
              <w:rPr>
                <w:rFonts w:hint="eastAsia"/>
                <w:lang w:val="en-US" w:eastAsia="zh-CN"/>
              </w:rPr>
              <w:t>独作</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有</w:t>
            </w:r>
          </w:p>
        </w:tc>
        <w:tc>
          <w:tcPr>
            <w:tcW w:w="831"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w:t>
            </w:r>
          </w:p>
        </w:tc>
        <w:tc>
          <w:tcPr>
            <w:tcW w:w="867"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 refinement on the growth factor in Gaussian elimination for accretive-dissipative matrices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Italian Joural of Pure and Applied Mathematics</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2014,33(2):273-278</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独作</w:t>
            </w:r>
          </w:p>
        </w:tc>
        <w:tc>
          <w:tcPr>
            <w:tcW w:w="923"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3</w:t>
            </w:r>
          </w:p>
        </w:tc>
        <w:tc>
          <w:tcPr>
            <w:tcW w:w="867"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Some mean inequalities for positive linear maps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Italian Joural of Pure and Applied Mathematics</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2015,35(2):87-90</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独作</w:t>
            </w:r>
          </w:p>
        </w:tc>
        <w:tc>
          <w:tcPr>
            <w:tcW w:w="923"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4</w:t>
            </w:r>
          </w:p>
        </w:tc>
        <w:tc>
          <w:tcPr>
            <w:tcW w:w="867"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 xml:space="preserve">Squaring operator </w:t>
            </w:r>
            <w:r>
              <w:rPr>
                <w:rFonts w:hint="default" w:ascii="Times New Roman" w:hAnsi="Times New Roman" w:eastAsia="仿宋_GB2312" w:cs="Times New Roman"/>
                <w:szCs w:val="21"/>
                <w:lang w:val="en-US" w:eastAsia="zh-CN"/>
              </w:rPr>
              <w:t>α</w:t>
            </w:r>
            <w:r>
              <w:rPr>
                <w:rFonts w:hint="eastAsia" w:ascii="Times New Roman" w:hAnsi="Times New Roman" w:eastAsia="仿宋_GB2312" w:cs="Times New Roman"/>
                <w:szCs w:val="21"/>
                <w:lang w:val="en-US" w:eastAsia="zh-CN"/>
              </w:rPr>
              <w:t>-Geometric mean inequality</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Journal of mathematical inequalities</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2016,10:571-575</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独作</w:t>
            </w:r>
          </w:p>
        </w:tc>
        <w:tc>
          <w:tcPr>
            <w:tcW w:w="923"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5</w:t>
            </w:r>
          </w:p>
        </w:tc>
        <w:tc>
          <w:tcPr>
            <w:tcW w:w="86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D</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Schatten q-norms and determinantal inequalities for matrices with numerical ranges in a sector</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Linear and Multilinear Algebra</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2019,VOL.67,NO.2(2019),221–227</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第一作者</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6</w:t>
            </w:r>
          </w:p>
        </w:tc>
        <w:tc>
          <w:tcPr>
            <w:tcW w:w="86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 note on more inequalities for sector matrices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Operators and matrices</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2019,Vol.13,No. 2(2019),471–476</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第一作者</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7</w:t>
            </w:r>
          </w:p>
        </w:tc>
        <w:tc>
          <w:tcPr>
            <w:tcW w:w="86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D</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 refinement of Rotfel'd type inequality for partitioned matrices with numerical ranges in a sector</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Linear and Multilinear Algebra</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2019，VOL.67,NO.9(2019),1719-1726</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第一作者</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w:t>
            </w:r>
          </w:p>
        </w:tc>
        <w:tc>
          <w:tcPr>
            <w:tcW w:w="867"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 note on unitarily invariant norm inequalities for accretive-dissipative operator matrces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Italian Joural of Pure and Applied Mathematics</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2020,No.43:206-212</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独作</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9</w:t>
            </w:r>
          </w:p>
        </w:tc>
        <w:tc>
          <w:tcPr>
            <w:tcW w:w="86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 NOTE ON A CONJECTURED SINGULAR VALUE INEQUALITY RELATED TO A LINEAR MAP</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Operators and Matrices</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Volume 14, Number 1, 2020(265-269)</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第一作者</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w:t>
            </w:r>
          </w:p>
        </w:tc>
        <w:tc>
          <w:tcPr>
            <w:tcW w:w="86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D</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Some inequalities related to 2×2 block sector partial transpose matrices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Journal of Inequalities and Applications</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(2020)2020:90:1-6</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第一作者</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11</w:t>
            </w:r>
          </w:p>
        </w:tc>
        <w:tc>
          <w:tcPr>
            <w:tcW w:w="86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D</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New proofs on two recent inequalities for unitarily invariant norms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Journal of Inequalities and Applications</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(2020) 2020:133（1-9）</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第一作者</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12</w:t>
            </w:r>
          </w:p>
        </w:tc>
        <w:tc>
          <w:tcPr>
            <w:tcW w:w="86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Some Singular Value Inequalities Related to Linear Maps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Filomat</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2020,Vol.34 No.11</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第一作者</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13</w:t>
            </w:r>
          </w:p>
        </w:tc>
        <w:tc>
          <w:tcPr>
            <w:tcW w:w="867"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Weighted geometric mean of two accretive matrices</w:t>
            </w:r>
          </w:p>
        </w:tc>
        <w:tc>
          <w:tcPr>
            <w:tcW w:w="1657"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Annals of Functional Analysis</w:t>
            </w:r>
          </w:p>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2020,Vol.12 No.1</w:t>
            </w:r>
          </w:p>
        </w:tc>
        <w:tc>
          <w:tcPr>
            <w:tcW w:w="796"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第一作者</w:t>
            </w:r>
          </w:p>
        </w:tc>
        <w:tc>
          <w:tcPr>
            <w:tcW w:w="923" w:type="dxa"/>
            <w:tcBorders>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14</w:t>
            </w:r>
          </w:p>
        </w:tc>
        <w:tc>
          <w:tcPr>
            <w:tcW w:w="867" w:type="dxa"/>
            <w:tcBorders>
              <w:bottom w:val="single" w:color="000000" w:sz="12" w:space="0"/>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E</w:t>
            </w:r>
          </w:p>
        </w:tc>
        <w:tc>
          <w:tcPr>
            <w:tcW w:w="1980" w:type="dxa"/>
            <w:tcBorders>
              <w:bottom w:val="single" w:color="000000" w:sz="12" w:space="0"/>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Inequalities on 2 × 2 block accretive matrices</w:t>
            </w:r>
          </w:p>
        </w:tc>
        <w:tc>
          <w:tcPr>
            <w:tcW w:w="1657" w:type="dxa"/>
            <w:tcBorders>
              <w:bottom w:val="single" w:color="000000" w:sz="12" w:space="0"/>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Operators and Matrices</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2022，Volume 16, Number 2, 323–328</w:t>
            </w:r>
          </w:p>
        </w:tc>
        <w:tc>
          <w:tcPr>
            <w:tcW w:w="796" w:type="dxa"/>
            <w:tcBorders>
              <w:bottom w:val="single" w:color="000000" w:sz="12" w:space="0"/>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100%</w:t>
            </w:r>
          </w:p>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独作</w:t>
            </w:r>
          </w:p>
        </w:tc>
        <w:tc>
          <w:tcPr>
            <w:tcW w:w="923" w:type="dxa"/>
            <w:tcBorders>
              <w:bottom w:val="single" w:color="000000" w:sz="12" w:space="0"/>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p>
        </w:tc>
        <w:tc>
          <w:tcPr>
            <w:tcW w:w="1210" w:type="dxa"/>
            <w:tcBorders>
              <w:bottom w:val="single" w:color="000000" w:sz="12" w:space="0"/>
              <w:tl2br w:val="nil"/>
              <w:tr2bl w:val="nil"/>
            </w:tcBorders>
            <w:vAlign w:val="center"/>
          </w:tcPr>
          <w:p>
            <w:pPr>
              <w:spacing w:line="240" w:lineRule="exact"/>
              <w:jc w:val="center"/>
              <w:rPr>
                <w:rFonts w:hint="eastAsia"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有</w:t>
            </w:r>
          </w:p>
        </w:tc>
        <w:tc>
          <w:tcPr>
            <w:tcW w:w="831" w:type="dxa"/>
            <w:tcBorders>
              <w:bottom w:val="single" w:color="000000" w:sz="12" w:space="0"/>
              <w:tl2br w:val="nil"/>
              <w:tr2bl w:val="nil"/>
            </w:tcBorders>
            <w:vAlign w:val="center"/>
          </w:tcPr>
          <w:p>
            <w:pPr>
              <w:spacing w:line="240" w:lineRule="exact"/>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tcPr>
          <w:p>
            <w:pPr>
              <w:jc w:val="center"/>
            </w:pPr>
          </w:p>
        </w:tc>
        <w:tc>
          <w:tcPr>
            <w:tcW w:w="867" w:type="dxa"/>
            <w:tcBorders>
              <w:top w:val="single" w:color="000000" w:sz="12" w:space="0"/>
            </w:tcBorders>
          </w:tcPr>
          <w:p>
            <w:pPr>
              <w:widowControl/>
              <w:jc w:val="center"/>
            </w:pPr>
          </w:p>
        </w:tc>
        <w:tc>
          <w:tcPr>
            <w:tcW w:w="1980" w:type="dxa"/>
            <w:tcBorders>
              <w:top w:val="single" w:color="000000" w:sz="12" w:space="0"/>
            </w:tcBorders>
          </w:tcPr>
          <w:p>
            <w:pPr>
              <w:widowControl/>
              <w:jc w:val="center"/>
            </w:pPr>
          </w:p>
        </w:tc>
        <w:tc>
          <w:tcPr>
            <w:tcW w:w="1657" w:type="dxa"/>
            <w:tcBorders>
              <w:top w:val="single" w:color="000000" w:sz="12" w:space="0"/>
            </w:tcBorders>
          </w:tcPr>
          <w:p>
            <w:pPr>
              <w:widowControl/>
              <w:jc w:val="center"/>
            </w:pPr>
          </w:p>
        </w:tc>
        <w:tc>
          <w:tcPr>
            <w:tcW w:w="796" w:type="dxa"/>
            <w:tcBorders>
              <w:top w:val="single" w:color="000000" w:sz="12" w:space="0"/>
            </w:tcBorders>
          </w:tcPr>
          <w:p>
            <w:pPr>
              <w:widowControl/>
              <w:jc w:val="center"/>
            </w:pPr>
          </w:p>
        </w:tc>
        <w:tc>
          <w:tcPr>
            <w:tcW w:w="923" w:type="dxa"/>
            <w:tcBorders>
              <w:top w:val="single" w:color="000000" w:sz="12" w:space="0"/>
            </w:tcBorders>
          </w:tcPr>
          <w:p>
            <w:pPr>
              <w:widowControl/>
              <w:jc w:val="center"/>
            </w:pPr>
          </w:p>
        </w:tc>
        <w:tc>
          <w:tcPr>
            <w:tcW w:w="1210" w:type="dxa"/>
            <w:tcBorders>
              <w:top w:val="single" w:color="000000" w:sz="12" w:space="0"/>
            </w:tcBorders>
          </w:tcPr>
          <w:p>
            <w:pPr>
              <w:widowControl/>
              <w:jc w:val="center"/>
            </w:pPr>
          </w:p>
        </w:tc>
        <w:tc>
          <w:tcPr>
            <w:tcW w:w="831" w:type="dxa"/>
            <w:tcBorders>
              <w:top w:val="single" w:color="000000" w:sz="12" w:space="0"/>
            </w:tcBorders>
          </w:tcPr>
          <w:p>
            <w:pPr>
              <w:widowControl/>
              <w:jc w:val="center"/>
            </w:pPr>
            <w:r>
              <w:fldChar w:fldCharType="begin"/>
            </w:r>
            <w:r>
              <w:instrText xml:space="preserve"> = sum(I3:I16) \* MERGEFORMAT </w:instrText>
            </w:r>
            <w:r>
              <w:fldChar w:fldCharType="separate"/>
            </w:r>
            <w:r>
              <w:t>1520</w:t>
            </w:r>
            <w:r>
              <w:fldChar w:fldCharType="end"/>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867" w:type="dxa"/>
            <w:tcBorders>
              <w:tl2br w:val="nil"/>
              <w:tr2bl w:val="nil"/>
            </w:tcBorders>
          </w:tcPr>
          <w:p>
            <w:pPr>
              <w:widowControl/>
              <w:jc w:val="center"/>
            </w:pPr>
          </w:p>
        </w:tc>
        <w:tc>
          <w:tcPr>
            <w:tcW w:w="1980" w:type="dxa"/>
            <w:tcBorders>
              <w:tl2br w:val="nil"/>
              <w:tr2bl w:val="nil"/>
            </w:tcBorders>
          </w:tcPr>
          <w:p>
            <w:pPr>
              <w:widowControl/>
              <w:jc w:val="center"/>
            </w:pPr>
          </w:p>
        </w:tc>
        <w:tc>
          <w:tcPr>
            <w:tcW w:w="1657"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rPr>
                <w:rFonts w:hint="default"/>
                <w:lang w:val="en-US"/>
              </w:rP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rPr>
          <w:rFonts w:hint="eastAsia"/>
        </w:rPr>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tcPr>
          <w:p>
            <w:pPr>
              <w:jc w:val="left"/>
            </w:pPr>
          </w:p>
        </w:tc>
        <w:tc>
          <w:tcPr>
            <w:tcW w:w="1130" w:type="dxa"/>
            <w:tcBorders>
              <w:bottom w:val="single" w:color="000000" w:sz="12" w:space="0"/>
              <w:tl2br w:val="nil"/>
              <w:tr2bl w:val="nil"/>
            </w:tcBorders>
          </w:tcPr>
          <w:p>
            <w:pPr>
              <w:jc w:val="left"/>
            </w:pPr>
          </w:p>
        </w:tc>
        <w:tc>
          <w:tcPr>
            <w:tcW w:w="1149"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snapToGrid w:val="0"/>
              <w:jc w:val="left"/>
            </w:pPr>
          </w:p>
          <w:p>
            <w:pPr>
              <w:snapToGrid w:val="0"/>
              <w:jc w:val="left"/>
            </w:pP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
            <w:pPr>
              <w:ind w:firstLine="420" w:firstLineChars="200"/>
              <w:rPr>
                <w:rFonts w:hint="default" w:ascii="Times New Roman" w:hAnsi="Times New Roman" w:cs="Times New Roman"/>
              </w:rPr>
            </w:pPr>
            <w:r>
              <w:rPr>
                <w:rFonts w:hint="default" w:ascii="Times New Roman" w:hAnsi="Times New Roman" w:cs="Times New Roman"/>
                <w:lang w:val="en-US" w:eastAsia="zh-CN"/>
              </w:rPr>
              <w:t>杨俊坚</w:t>
            </w:r>
            <w:r>
              <w:rPr>
                <w:rFonts w:hint="default" w:ascii="Times New Roman" w:hAnsi="Times New Roman" w:cs="Times New Roman"/>
              </w:rPr>
              <w:t>，</w:t>
            </w:r>
            <w:r>
              <w:rPr>
                <w:rFonts w:hint="default" w:ascii="Times New Roman" w:hAnsi="Times New Roman" w:cs="Times New Roman"/>
                <w:lang w:val="en-US" w:eastAsia="zh-CN"/>
              </w:rPr>
              <w:t>男</w:t>
            </w:r>
            <w:r>
              <w:rPr>
                <w:rFonts w:hint="default" w:ascii="Times New Roman" w:hAnsi="Times New Roman" w:cs="Times New Roman"/>
              </w:rPr>
              <w:t>，</w:t>
            </w:r>
            <w:r>
              <w:rPr>
                <w:rFonts w:hint="default" w:ascii="Times New Roman" w:hAnsi="Times New Roman" w:cs="Times New Roman"/>
                <w:lang w:val="en-US" w:eastAsia="zh-CN"/>
              </w:rPr>
              <w:t>江西九江人</w:t>
            </w:r>
            <w:r>
              <w:rPr>
                <w:rFonts w:hint="default" w:ascii="Times New Roman" w:hAnsi="Times New Roman" w:cs="Times New Roman"/>
              </w:rPr>
              <w:t>。20</w:t>
            </w:r>
            <w:r>
              <w:rPr>
                <w:rFonts w:hint="default" w:ascii="Times New Roman" w:hAnsi="Times New Roman" w:cs="Times New Roman"/>
                <w:lang w:val="en-US" w:eastAsia="zh-CN"/>
              </w:rPr>
              <w:t>21</w:t>
            </w:r>
            <w:r>
              <w:rPr>
                <w:rFonts w:hint="default" w:ascii="Times New Roman" w:hAnsi="Times New Roman" w:cs="Times New Roman"/>
              </w:rPr>
              <w:t>年</w:t>
            </w:r>
            <w:r>
              <w:rPr>
                <w:rFonts w:hint="default" w:ascii="Times New Roman" w:hAnsi="Times New Roman" w:cs="Times New Roman"/>
                <w:lang w:val="en-US" w:eastAsia="zh-CN"/>
              </w:rPr>
              <w:t>6</w:t>
            </w:r>
            <w:r>
              <w:rPr>
                <w:rFonts w:hint="default" w:ascii="Times New Roman" w:hAnsi="Times New Roman" w:cs="Times New Roman"/>
              </w:rPr>
              <w:t>月毕业于</w:t>
            </w:r>
            <w:r>
              <w:rPr>
                <w:rFonts w:hint="default" w:ascii="Times New Roman" w:hAnsi="Times New Roman" w:cs="Times New Roman"/>
                <w:lang w:val="en-US" w:eastAsia="zh-CN"/>
              </w:rPr>
              <w:t>贵州师范大学数学科学学院</w:t>
            </w:r>
            <w:r>
              <w:rPr>
                <w:rFonts w:hint="default" w:ascii="Times New Roman" w:hAnsi="Times New Roman" w:cs="Times New Roman"/>
              </w:rPr>
              <w:t>，获</w:t>
            </w:r>
            <w:r>
              <w:rPr>
                <w:rFonts w:hint="default" w:ascii="Times New Roman" w:hAnsi="Times New Roman" w:cs="Times New Roman"/>
                <w:lang w:val="en-US" w:eastAsia="zh-CN"/>
              </w:rPr>
              <w:t>计算数学</w:t>
            </w:r>
            <w:r>
              <w:rPr>
                <w:rFonts w:hint="default" w:ascii="Times New Roman" w:hAnsi="Times New Roman" w:cs="Times New Roman"/>
              </w:rPr>
              <w:t>专业博士学位。我热爱祖国，坚决拥护中国共产党的领导，热爱教育教学科研工作，贯彻党的教育方针和政策。自入职以来，本着认真积极的态度投身到学校学院的教学科研等各项工作中去，现将任职以来个人技术工作总结如下。</w:t>
            </w:r>
          </w:p>
          <w:p>
            <w:pPr>
              <w:rPr>
                <w:rFonts w:hint="default" w:ascii="Times New Roman" w:hAnsi="Times New Roman" w:cs="Times New Roman"/>
              </w:rPr>
            </w:pPr>
            <w:r>
              <w:rPr>
                <w:rFonts w:hint="default" w:ascii="Times New Roman" w:hAnsi="Times New Roman" w:cs="Times New Roman"/>
              </w:rPr>
              <w:t>一、思想与师德</w:t>
            </w:r>
          </w:p>
          <w:p>
            <w:pPr>
              <w:ind w:firstLine="420" w:firstLineChars="200"/>
              <w:rPr>
                <w:rFonts w:hint="default" w:ascii="Times New Roman" w:hAnsi="Times New Roman" w:cs="Times New Roman"/>
              </w:rPr>
            </w:pPr>
            <w:r>
              <w:rPr>
                <w:rFonts w:hint="default" w:ascii="Times New Roman" w:hAnsi="Times New Roman" w:cs="Times New Roman"/>
              </w:rPr>
              <w:t>我积极拥护党的路线、方针、政策，认真学习党的基本理论。坚定政治信念，加强政治理论，认真贯彻执行党的路线、方针。认真学习党的基本理论和领导的重要讲话，不断充实自己，提高自己，严格要求自己，树立正确的世界观、人生观和价值观。我热爱教育事业，有较强的事业心、责任感，工作态度端正，作风正派。贯彻党的教育方针和政策，恪尽职守，教风端正，治学严谨，坚持以学生为本，为人师表，立德树人，具有高度的责任心和良好的职业道德，严格遵守师德师风行为准则，没有学术不端行为。</w:t>
            </w:r>
          </w:p>
          <w:p>
            <w:pPr>
              <w:ind w:firstLine="420" w:firstLineChars="200"/>
              <w:rPr>
                <w:rFonts w:hint="default" w:ascii="Times New Roman" w:hAnsi="Times New Roman" w:cs="Times New Roman"/>
              </w:rPr>
            </w:pPr>
            <w:r>
              <w:rPr>
                <w:rFonts w:hint="default" w:ascii="Times New Roman" w:hAnsi="Times New Roman" w:cs="Times New Roman"/>
              </w:rPr>
              <w:t>积极参加</w:t>
            </w:r>
            <w:r>
              <w:rPr>
                <w:rFonts w:hint="default" w:ascii="Times New Roman" w:hAnsi="Times New Roman" w:cs="Times New Roman"/>
                <w:lang w:val="en-US" w:eastAsia="zh-CN"/>
              </w:rPr>
              <w:t>各种师德师风网络</w:t>
            </w:r>
            <w:r>
              <w:rPr>
                <w:rFonts w:hint="default" w:ascii="Times New Roman" w:hAnsi="Times New Roman" w:cs="Times New Roman"/>
              </w:rPr>
              <w:t>培训，不断提高自己的师德素养。我坚信，在以后的学习工作中，通过扎实的思想政治理论学习，为自己开展各项工作提供强大的思想武器。努力把自己锻炼成一名优秀的教师。</w:t>
            </w:r>
          </w:p>
          <w:p>
            <w:pPr>
              <w:rPr>
                <w:rFonts w:hint="default" w:ascii="Times New Roman" w:hAnsi="Times New Roman" w:cs="Times New Roman"/>
              </w:rPr>
            </w:pPr>
            <w:r>
              <w:rPr>
                <w:rFonts w:hint="default" w:ascii="Times New Roman" w:hAnsi="Times New Roman" w:cs="Times New Roman"/>
              </w:rPr>
              <w:t>二、教育教学</w:t>
            </w:r>
          </w:p>
          <w:p>
            <w:pPr>
              <w:ind w:firstLine="420" w:firstLineChars="200"/>
              <w:rPr>
                <w:rFonts w:hint="default" w:ascii="Times New Roman" w:hAnsi="Times New Roman" w:cs="Times New Roman"/>
              </w:rPr>
            </w:pPr>
            <w:r>
              <w:rPr>
                <w:rFonts w:hint="default" w:ascii="Times New Roman" w:hAnsi="Times New Roman" w:cs="Times New Roman"/>
              </w:rPr>
              <w:t>任现职以来，严格遵守高校教师职业道德规范，坚持育人为本、德育为先，努力探索教育教学规律，积极参加教研活动。</w:t>
            </w:r>
          </w:p>
          <w:p>
            <w:pPr>
              <w:ind w:firstLine="420" w:firstLineChars="200"/>
              <w:rPr>
                <w:rFonts w:hint="default" w:ascii="Times New Roman" w:hAnsi="Times New Roman" w:cs="Times New Roman" w:eastAsiaTheme="minorEastAsia"/>
                <w:lang w:val="en-US" w:eastAsia="zh-CN"/>
              </w:rPr>
            </w:pPr>
            <w:r>
              <w:rPr>
                <w:rFonts w:hint="default" w:ascii="Times New Roman" w:hAnsi="Times New Roman" w:cs="Times New Roman"/>
              </w:rPr>
              <w:t>任现职以来承担《</w:t>
            </w:r>
            <w:r>
              <w:rPr>
                <w:rFonts w:hint="default" w:ascii="Times New Roman" w:hAnsi="Times New Roman" w:cs="Times New Roman"/>
                <w:lang w:val="en-US" w:eastAsia="zh-CN"/>
              </w:rPr>
              <w:t>高等数学</w:t>
            </w:r>
            <w:r>
              <w:rPr>
                <w:rFonts w:hint="default" w:ascii="Times New Roman" w:hAnsi="Times New Roman" w:cs="Times New Roman"/>
              </w:rPr>
              <w:t>》、《</w:t>
            </w:r>
            <w:r>
              <w:rPr>
                <w:rFonts w:hint="default" w:ascii="Times New Roman" w:hAnsi="Times New Roman" w:cs="Times New Roman"/>
                <w:lang w:val="en-US" w:eastAsia="zh-CN"/>
              </w:rPr>
              <w:t>线性代数</w:t>
            </w:r>
            <w:r>
              <w:rPr>
                <w:rFonts w:hint="default" w:ascii="Times New Roman" w:hAnsi="Times New Roman" w:cs="Times New Roman"/>
              </w:rPr>
              <w:t>》、《</w:t>
            </w:r>
            <w:r>
              <w:rPr>
                <w:rFonts w:hint="default" w:ascii="Times New Roman" w:hAnsi="Times New Roman" w:cs="Times New Roman"/>
                <w:lang w:val="en-US" w:eastAsia="zh-CN"/>
              </w:rPr>
              <w:t>数学建模</w:t>
            </w:r>
            <w:r>
              <w:rPr>
                <w:rFonts w:hint="default" w:ascii="Times New Roman" w:hAnsi="Times New Roman" w:cs="Times New Roman"/>
              </w:rPr>
              <w:t>》等</w:t>
            </w:r>
            <w:r>
              <w:rPr>
                <w:rFonts w:hint="default" w:ascii="Times New Roman" w:hAnsi="Times New Roman" w:cs="Times New Roman"/>
                <w:lang w:val="en-US" w:eastAsia="zh-CN"/>
              </w:rPr>
              <w:t>课程的</w:t>
            </w:r>
            <w:r>
              <w:rPr>
                <w:rFonts w:hint="default" w:ascii="Times New Roman" w:hAnsi="Times New Roman" w:cs="Times New Roman"/>
              </w:rPr>
              <w:t>教学工作任务，授课年均课时达到</w:t>
            </w:r>
            <w:r>
              <w:rPr>
                <w:rFonts w:hint="eastAsia" w:ascii="Times New Roman" w:hAnsi="Times New Roman" w:cs="Times New Roman"/>
                <w:lang w:val="en-US" w:eastAsia="zh-CN"/>
              </w:rPr>
              <w:t>276</w:t>
            </w:r>
            <w:r>
              <w:rPr>
                <w:rFonts w:hint="default" w:ascii="Times New Roman" w:hAnsi="Times New Roman" w:cs="Times New Roman"/>
              </w:rPr>
              <w:t>学时，学生和督导评课均在优良以上。积极改革教学方式和教学方法，积极参加和开展教育教学课题研究，主持研究校教育教改课题《</w:t>
            </w:r>
            <w:r>
              <w:rPr>
                <w:rFonts w:hint="default" w:ascii="Times New Roman" w:hAnsi="Times New Roman" w:cs="Times New Roman"/>
                <w:lang w:val="en-US" w:eastAsia="zh-CN"/>
              </w:rPr>
              <w:t>线性代数的教学内容改革与实践</w:t>
            </w:r>
            <w:r>
              <w:rPr>
                <w:rFonts w:hint="default" w:ascii="Times New Roman" w:hAnsi="Times New Roman" w:cs="Times New Roman"/>
              </w:rPr>
              <w:t>》1项。</w:t>
            </w:r>
            <w:r>
              <w:rPr>
                <w:rFonts w:hint="default" w:ascii="Times New Roman" w:hAnsi="Times New Roman" w:cs="Times New Roman"/>
                <w:lang w:val="en-US" w:eastAsia="zh-CN"/>
              </w:rPr>
              <w:t>在完成各项教学任务时，积极指导学生参加全国大学生数学建模竞赛、积极参与创新创业周的活动，并指导刘凯越、</w:t>
            </w:r>
            <w:r>
              <w:rPr>
                <w:rFonts w:hint="eastAsia" w:ascii="Times New Roman" w:hAnsi="Times New Roman" w:cs="Times New Roman"/>
                <w:lang w:val="en-US" w:eastAsia="zh-CN"/>
              </w:rPr>
              <w:t>孔胜男、</w:t>
            </w:r>
            <w:r>
              <w:rPr>
                <w:rFonts w:hint="default" w:ascii="Times New Roman" w:hAnsi="Times New Roman" w:cs="Times New Roman"/>
                <w:lang w:val="en-US" w:eastAsia="zh-CN"/>
              </w:rPr>
              <w:t>刘越同学获得数学建模海南省二等奖。</w:t>
            </w:r>
          </w:p>
          <w:p>
            <w:pPr>
              <w:rPr>
                <w:rFonts w:hint="default" w:ascii="Times New Roman" w:hAnsi="Times New Roman" w:cs="Times New Roman"/>
              </w:rPr>
            </w:pPr>
            <w:r>
              <w:rPr>
                <w:rFonts w:hint="default" w:ascii="Times New Roman" w:hAnsi="Times New Roman" w:cs="Times New Roman"/>
                <w:lang w:val="en-US" w:eastAsia="zh-CN"/>
              </w:rPr>
              <w:t xml:space="preserve"> </w:t>
            </w:r>
            <w:r>
              <w:rPr>
                <w:rFonts w:hint="default" w:ascii="Times New Roman" w:hAnsi="Times New Roman" w:cs="Times New Roman"/>
              </w:rPr>
              <w:t>三、科学研究方面</w:t>
            </w:r>
          </w:p>
          <w:p>
            <w:pPr>
              <w:ind w:firstLine="420" w:firstLineChars="200"/>
              <w:rPr>
                <w:rFonts w:hint="default" w:ascii="Times New Roman" w:hAnsi="Times New Roman" w:cs="Times New Roman"/>
              </w:rPr>
            </w:pPr>
            <w:r>
              <w:rPr>
                <w:rFonts w:hint="default" w:ascii="Times New Roman" w:hAnsi="Times New Roman" w:cs="Times New Roman"/>
              </w:rPr>
              <w:t>积极开展科研，具有独立开拓、主持科研课题的能力，科研成绩显著：</w:t>
            </w:r>
          </w:p>
          <w:p>
            <w:pPr>
              <w:rPr>
                <w:rFonts w:hint="default" w:ascii="Times New Roman" w:hAnsi="Times New Roman" w:cs="Times New Roman"/>
              </w:rPr>
            </w:pPr>
            <w:r>
              <w:rPr>
                <w:rFonts w:hint="default" w:ascii="Times New Roman" w:hAnsi="Times New Roman" w:cs="Times New Roman"/>
              </w:rPr>
              <w:t>（1）主持项目</w:t>
            </w:r>
          </w:p>
          <w:p>
            <w:pPr>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1</w:t>
            </w:r>
            <w:r>
              <w:rPr>
                <w:rFonts w:hint="default" w:ascii="Times New Roman" w:hAnsi="Times New Roman" w:cs="Times New Roman"/>
              </w:rPr>
              <w:t xml:space="preserve">] 国家自然科学基金委员会, 地区项目, </w:t>
            </w:r>
            <w:r>
              <w:rPr>
                <w:rFonts w:hint="default" w:ascii="Times New Roman" w:hAnsi="Times New Roman" w:cs="Times New Roman"/>
                <w:lang w:val="en-US" w:eastAsia="zh-CN"/>
              </w:rPr>
              <w:t>12261030</w:t>
            </w:r>
            <w:r>
              <w:rPr>
                <w:rFonts w:hint="default" w:ascii="Times New Roman" w:hAnsi="Times New Roman" w:cs="Times New Roman"/>
              </w:rPr>
              <w:t>，</w:t>
            </w:r>
            <w:r>
              <w:rPr>
                <w:rFonts w:hint="default" w:ascii="Times New Roman" w:hAnsi="Times New Roman" w:cs="Times New Roman"/>
                <w:lang w:val="en-US" w:eastAsia="zh-CN"/>
              </w:rPr>
              <w:t>矩阵酉不变范数不等式的理论及应用研究</w:t>
            </w:r>
            <w:r>
              <w:rPr>
                <w:rFonts w:hint="default" w:ascii="Times New Roman" w:hAnsi="Times New Roman" w:cs="Times New Roman"/>
              </w:rPr>
              <w:t>，2023-01至2026-12, 2</w:t>
            </w:r>
            <w:r>
              <w:rPr>
                <w:rFonts w:hint="default" w:ascii="Times New Roman" w:hAnsi="Times New Roman" w:cs="Times New Roman"/>
                <w:lang w:val="en-US" w:eastAsia="zh-CN"/>
              </w:rPr>
              <w:t>9</w:t>
            </w:r>
            <w:r>
              <w:rPr>
                <w:rFonts w:hint="default" w:ascii="Times New Roman" w:hAnsi="Times New Roman" w:cs="Times New Roman"/>
              </w:rPr>
              <w:t>万元, 在研</w:t>
            </w:r>
          </w:p>
          <w:p>
            <w:pPr>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2</w:t>
            </w:r>
            <w:r>
              <w:rPr>
                <w:rFonts w:hint="default" w:ascii="Times New Roman" w:hAnsi="Times New Roman" w:cs="Times New Roman"/>
              </w:rPr>
              <w:t xml:space="preserve">] 海南省自然科学基金委员会, </w:t>
            </w:r>
            <w:r>
              <w:rPr>
                <w:rFonts w:hint="default" w:ascii="Times New Roman" w:hAnsi="Times New Roman" w:cs="Times New Roman"/>
                <w:lang w:val="en-US" w:eastAsia="zh-CN"/>
              </w:rPr>
              <w:t>面上项目</w:t>
            </w:r>
            <w:r>
              <w:rPr>
                <w:rFonts w:hint="default" w:ascii="Times New Roman" w:hAnsi="Times New Roman" w:cs="Times New Roman"/>
              </w:rPr>
              <w:t xml:space="preserve">, </w:t>
            </w:r>
            <w:r>
              <w:rPr>
                <w:rFonts w:hint="default" w:ascii="Times New Roman" w:hAnsi="Times New Roman" w:cs="Times New Roman"/>
                <w:lang w:val="en-US" w:eastAsia="zh-CN"/>
              </w:rPr>
              <w:t>120MS032</w:t>
            </w:r>
            <w:r>
              <w:rPr>
                <w:rFonts w:hint="default" w:ascii="Times New Roman" w:hAnsi="Times New Roman" w:cs="Times New Roman"/>
              </w:rPr>
              <w:t xml:space="preserve">, </w:t>
            </w:r>
            <w:r>
              <w:rPr>
                <w:rFonts w:hint="default" w:ascii="Times New Roman" w:hAnsi="Times New Roman" w:cs="Times New Roman"/>
                <w:lang w:val="en-US" w:eastAsia="zh-CN"/>
              </w:rPr>
              <w:t>关于张量乘积矩阵的线性保持问题的研究</w:t>
            </w:r>
            <w:r>
              <w:rPr>
                <w:rFonts w:hint="default" w:ascii="Times New Roman" w:hAnsi="Times New Roman" w:cs="Times New Roman"/>
              </w:rPr>
              <w:t>, 2020-</w:t>
            </w:r>
            <w:r>
              <w:rPr>
                <w:rFonts w:hint="default" w:ascii="Times New Roman" w:hAnsi="Times New Roman" w:cs="Times New Roman"/>
                <w:lang w:val="en-US" w:eastAsia="zh-CN"/>
              </w:rPr>
              <w:t>12</w:t>
            </w:r>
            <w:r>
              <w:rPr>
                <w:rFonts w:hint="default" w:ascii="Times New Roman" w:hAnsi="Times New Roman" w:cs="Times New Roman"/>
              </w:rPr>
              <w:t>至202</w:t>
            </w:r>
            <w:r>
              <w:rPr>
                <w:rFonts w:hint="default" w:ascii="Times New Roman" w:hAnsi="Times New Roman" w:cs="Times New Roman"/>
                <w:lang w:val="en-US" w:eastAsia="zh-CN"/>
              </w:rPr>
              <w:t>3</w:t>
            </w:r>
            <w:r>
              <w:rPr>
                <w:rFonts w:hint="default" w:ascii="Times New Roman" w:hAnsi="Times New Roman" w:cs="Times New Roman"/>
              </w:rPr>
              <w:t xml:space="preserve">-12, </w:t>
            </w:r>
            <w:r>
              <w:rPr>
                <w:rFonts w:hint="default" w:ascii="Times New Roman" w:hAnsi="Times New Roman" w:cs="Times New Roman"/>
                <w:lang w:val="en-US" w:eastAsia="zh-CN"/>
              </w:rPr>
              <w:t>5</w:t>
            </w:r>
            <w:r>
              <w:rPr>
                <w:rFonts w:hint="default" w:ascii="Times New Roman" w:hAnsi="Times New Roman" w:cs="Times New Roman"/>
              </w:rPr>
              <w:t>万元, 在研</w:t>
            </w:r>
          </w:p>
          <w:p>
            <w:pPr>
              <w:rPr>
                <w:rFonts w:hint="default" w:ascii="Times New Roman" w:hAnsi="Times New Roman" w:cs="Times New Roman"/>
              </w:rPr>
            </w:pPr>
            <w:r>
              <w:rPr>
                <w:rFonts w:hint="default" w:ascii="Times New Roman" w:hAnsi="Times New Roman" w:cs="Times New Roman"/>
              </w:rPr>
              <w:t>（2）任现职以来发表成果</w:t>
            </w:r>
          </w:p>
          <w:p>
            <w:pPr>
              <w:pStyle w:val="5"/>
              <w:keepNext w:val="0"/>
              <w:keepLines w:val="0"/>
              <w:widowControl/>
              <w:suppressLineNumbers w:val="0"/>
              <w:spacing w:before="0" w:beforeAutospacing="0" w:after="0" w:afterAutospacing="0" w:line="384" w:lineRule="atLeast"/>
              <w:ind w:left="0" w:right="0" w:firstLine="0"/>
              <w:jc w:val="left"/>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[1]</w:t>
            </w:r>
            <w:r>
              <w:rPr>
                <w:rFonts w:hint="default" w:ascii="Times New Roman" w:hAnsi="Times New Roman" w:cs="Times New Roman" w:eastAsiaTheme="minorEastAsia"/>
                <w:kern w:val="2"/>
                <w:sz w:val="21"/>
                <w:szCs w:val="22"/>
                <w:lang w:val="en-US" w:eastAsia="zh-CN" w:bidi="ar-SA"/>
              </w:rPr>
              <w:t xml:space="preserve"> Junjian Yang. INEQUALITIES ON 2 × 2 BLOCK ACCRETIVE MATRICES, Operators and Matrices, Volume 16, Number 2 (2022), 323–328. (SCI)</w:t>
            </w:r>
          </w:p>
          <w:p>
            <w:pPr>
              <w:pStyle w:val="5"/>
              <w:keepNext w:val="0"/>
              <w:keepLines w:val="0"/>
              <w:widowControl/>
              <w:suppressLineNumbers w:val="0"/>
              <w:spacing w:before="0" w:beforeAutospacing="0" w:after="0" w:afterAutospacing="0" w:line="384" w:lineRule="atLeast"/>
              <w:ind w:left="0" w:right="0" w:firstLine="0"/>
              <w:jc w:val="left"/>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[2]</w:t>
            </w:r>
            <w:r>
              <w:rPr>
                <w:rFonts w:hint="default" w:ascii="Times New Roman" w:hAnsi="Times New Roman" w:cs="Times New Roman" w:eastAsiaTheme="minorEastAsia"/>
                <w:kern w:val="2"/>
                <w:sz w:val="21"/>
                <w:szCs w:val="22"/>
                <w:lang w:val="en-US" w:eastAsia="zh-CN" w:bidi="ar-SA"/>
              </w:rPr>
              <w:t> Junjian Yang, Linzhang Lu, Zhen Chen. Weighted geometric mean of two accretive matrices, Annals of Functional Analysis. (2021) 12:19. (SCI)</w:t>
            </w:r>
          </w:p>
          <w:p>
            <w:pPr>
              <w:pStyle w:val="5"/>
              <w:keepNext w:val="0"/>
              <w:keepLines w:val="0"/>
              <w:widowControl/>
              <w:suppressLineNumbers w:val="0"/>
              <w:spacing w:before="0" w:beforeAutospacing="0" w:after="0" w:afterAutospacing="0" w:line="384" w:lineRule="atLeast"/>
              <w:ind w:left="0" w:right="0" w:firstLine="0"/>
              <w:jc w:val="left"/>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[3]</w:t>
            </w:r>
            <w:r>
              <w:rPr>
                <w:rFonts w:hint="default" w:ascii="Times New Roman" w:hAnsi="Times New Roman" w:cs="Times New Roman" w:eastAsiaTheme="minorEastAsia"/>
                <w:kern w:val="2"/>
                <w:sz w:val="21"/>
                <w:szCs w:val="22"/>
                <w:lang w:val="en-US" w:eastAsia="zh-CN" w:bidi="ar-SA"/>
              </w:rPr>
              <w:t> Junjian Yang, Linzhang Lu, Zhen Chen. Some Singular Value Inequalities Related to Linear Maps, Filomat. 34:11 (2020), 3705–3709.(SCI)</w:t>
            </w:r>
          </w:p>
          <w:p>
            <w:pPr>
              <w:pStyle w:val="5"/>
              <w:keepNext w:val="0"/>
              <w:keepLines w:val="0"/>
              <w:widowControl/>
              <w:suppressLineNumbers w:val="0"/>
              <w:spacing w:before="0" w:beforeAutospacing="0" w:after="0" w:afterAutospacing="0" w:line="384" w:lineRule="atLeast"/>
              <w:ind w:left="0" w:right="0" w:firstLine="0"/>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 xml:space="preserve">[4] </w:t>
            </w:r>
            <w:r>
              <w:rPr>
                <w:rFonts w:hint="default" w:ascii="Times New Roman" w:hAnsi="Times New Roman" w:cs="Times New Roman" w:eastAsiaTheme="minorEastAsia"/>
                <w:kern w:val="2"/>
                <w:sz w:val="21"/>
                <w:szCs w:val="22"/>
                <w:lang w:val="en-US" w:eastAsia="zh-CN" w:bidi="ar-SA"/>
              </w:rPr>
              <w:t>Junjian Yang, Linzhang Lu. New proofs on two recent inequalities for unitarily invariant norms</w:t>
            </w:r>
            <w:r>
              <w:rPr>
                <w:rFonts w:hint="default" w:ascii="Times New Roman" w:hAnsi="Times New Roman" w:cs="Times New Roman"/>
                <w:kern w:val="2"/>
                <w:sz w:val="21"/>
                <w:szCs w:val="22"/>
                <w:lang w:val="en-US" w:eastAsia="zh-CN" w:bidi="ar-SA"/>
              </w:rPr>
              <w:t xml:space="preserve">, </w:t>
            </w:r>
            <w:r>
              <w:rPr>
                <w:rFonts w:hint="default" w:ascii="Times New Roman" w:hAnsi="Times New Roman" w:cs="Times New Roman" w:eastAsiaTheme="minorEastAsia"/>
                <w:kern w:val="2"/>
                <w:sz w:val="21"/>
                <w:szCs w:val="22"/>
                <w:lang w:val="en-US" w:eastAsia="zh-CN" w:bidi="ar-SA"/>
              </w:rPr>
              <w:t>Journal of Inequalities and Applications. (2020) 2020:133. (SCI)</w:t>
            </w:r>
          </w:p>
          <w:p>
            <w:pPr>
              <w:pStyle w:val="5"/>
              <w:keepNext w:val="0"/>
              <w:keepLines w:val="0"/>
              <w:widowControl/>
              <w:suppressLineNumbers w:val="0"/>
              <w:spacing w:before="0" w:beforeAutospacing="0" w:after="0" w:afterAutospacing="0" w:line="384" w:lineRule="atLeast"/>
              <w:ind w:left="0" w:right="0" w:firstLine="0"/>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[5]</w:t>
            </w:r>
            <w:r>
              <w:rPr>
                <w:rFonts w:hint="default" w:ascii="Times New Roman" w:hAnsi="Times New Roman" w:cs="Times New Roman" w:eastAsiaTheme="minorEastAsia"/>
                <w:kern w:val="2"/>
                <w:sz w:val="21"/>
                <w:szCs w:val="22"/>
                <w:lang w:val="en-US" w:eastAsia="zh-CN" w:bidi="ar-SA"/>
              </w:rPr>
              <w:t xml:space="preserve"> Junjian Yang, Linzhang Lu, Zhen Chen. Some inequalities related to 2×2 block sector partial transpose matrices, Journal of Inequalities and Applications. (2020) 2020:90. (SCI)</w:t>
            </w:r>
          </w:p>
          <w:p>
            <w:pPr>
              <w:pStyle w:val="5"/>
              <w:keepNext w:val="0"/>
              <w:keepLines w:val="0"/>
              <w:widowControl/>
              <w:suppressLineNumbers w:val="0"/>
              <w:spacing w:before="0" w:beforeAutospacing="0" w:after="0" w:afterAutospacing="0" w:line="384" w:lineRule="atLeast"/>
              <w:ind w:left="0" w:right="0" w:firstLine="0"/>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[6]</w:t>
            </w:r>
            <w:r>
              <w:rPr>
                <w:rFonts w:hint="default" w:ascii="Times New Roman" w:hAnsi="Times New Roman" w:cs="Times New Roman" w:eastAsiaTheme="minorEastAsia"/>
                <w:kern w:val="2"/>
                <w:sz w:val="21"/>
                <w:szCs w:val="22"/>
                <w:lang w:val="en-US" w:eastAsia="zh-CN" w:bidi="ar-SA"/>
              </w:rPr>
              <w:t xml:space="preserve"> Junjian Yang, Linzhang Lu, Zhen Chen. A note on a conjectured singular value inequality related to a linear map, Operators and Matrices, Volume 14, Number 1 (2020), 265–269. (SCI)</w:t>
            </w:r>
          </w:p>
          <w:p>
            <w:pPr>
              <w:pStyle w:val="5"/>
              <w:keepNext w:val="0"/>
              <w:keepLines w:val="0"/>
              <w:widowControl/>
              <w:suppressLineNumbers w:val="0"/>
              <w:spacing w:before="0" w:beforeAutospacing="0" w:after="0" w:afterAutospacing="0" w:line="384" w:lineRule="atLeast"/>
              <w:ind w:left="0" w:right="0" w:firstLine="0"/>
              <w:rPr>
                <w:rFonts w:hint="default" w:ascii="Times New Roman" w:hAnsi="Times New Roman" w:cs="Times New Roman"/>
                <w:kern w:val="2"/>
                <w:sz w:val="21"/>
                <w:szCs w:val="22"/>
                <w:lang w:val="en-US" w:eastAsia="zh-CN" w:bidi="ar-SA"/>
              </w:rPr>
            </w:pPr>
            <w:r>
              <w:rPr>
                <w:rFonts w:hint="default" w:ascii="Times New Roman" w:hAnsi="Times New Roman" w:cs="Times New Roman"/>
                <w:kern w:val="2"/>
                <w:sz w:val="21"/>
                <w:szCs w:val="22"/>
                <w:lang w:val="en-US" w:eastAsia="zh-CN" w:bidi="ar-SA"/>
              </w:rPr>
              <w:t>[7]</w:t>
            </w:r>
            <w:r>
              <w:rPr>
                <w:rFonts w:hint="default" w:ascii="Times New Roman" w:hAnsi="Times New Roman" w:cs="Times New Roman" w:eastAsiaTheme="minorEastAsia"/>
                <w:kern w:val="2"/>
                <w:sz w:val="21"/>
                <w:szCs w:val="22"/>
                <w:lang w:val="en-US" w:eastAsia="zh-CN" w:bidi="ar-SA"/>
              </w:rPr>
              <w:t> Junjian Yang. A note on unitarily invariant norm inequalities for accretive-dissipative operator matrces, Italian Journal of Pure and Applied Mathematics. 43 (2020) 206-212.（EI）</w:t>
            </w:r>
          </w:p>
          <w:p>
            <w:pPr>
              <w:pStyle w:val="5"/>
              <w:keepNext w:val="0"/>
              <w:keepLines w:val="0"/>
              <w:widowControl/>
              <w:suppressLineNumbers w:val="0"/>
              <w:spacing w:before="0" w:beforeAutospacing="0" w:after="0" w:afterAutospacing="0" w:line="384" w:lineRule="atLeast"/>
              <w:ind w:left="0" w:right="0" w:firstLine="0"/>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[8]</w:t>
            </w:r>
            <w:r>
              <w:rPr>
                <w:rFonts w:hint="default" w:ascii="Times New Roman" w:hAnsi="Times New Roman" w:cs="Times New Roman" w:eastAsiaTheme="minorEastAsia"/>
                <w:kern w:val="2"/>
                <w:sz w:val="21"/>
                <w:szCs w:val="22"/>
                <w:lang w:val="en-US" w:eastAsia="zh-CN" w:bidi="ar-SA"/>
              </w:rPr>
              <w:t xml:space="preserve"> Junjian Yang, Linzhang Lu, Zhen Chen. Schatten q-norms and determinantal inequalities for matrices with numerical ranges in a sector, Linear and Multilinear Algebra,67(2019)No.2,221-227.（SCI）</w:t>
            </w:r>
          </w:p>
          <w:p>
            <w:pPr>
              <w:pStyle w:val="5"/>
              <w:keepNext w:val="0"/>
              <w:keepLines w:val="0"/>
              <w:widowControl/>
              <w:suppressLineNumbers w:val="0"/>
              <w:spacing w:before="0" w:beforeAutospacing="0" w:after="0" w:afterAutospacing="0" w:line="384" w:lineRule="atLeast"/>
              <w:ind w:left="0" w:right="0" w:firstLine="0"/>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[9]</w:t>
            </w:r>
            <w:r>
              <w:rPr>
                <w:rFonts w:hint="default" w:ascii="Times New Roman" w:hAnsi="Times New Roman" w:cs="Times New Roman" w:eastAsiaTheme="minorEastAsia"/>
                <w:kern w:val="2"/>
                <w:sz w:val="21"/>
                <w:szCs w:val="22"/>
                <w:lang w:val="en-US" w:eastAsia="zh-CN" w:bidi="ar-SA"/>
              </w:rPr>
              <w:t xml:space="preserve"> Junjian Yang, Linzhang Lu, Zhen Chen. A refinement of Rotfel</w:t>
            </w:r>
            <w:r>
              <w:rPr>
                <w:rFonts w:hint="default" w:ascii="Times New Roman" w:hAnsi="Times New Roman" w:cs="Times New Roman"/>
                <w:kern w:val="2"/>
                <w:sz w:val="21"/>
                <w:szCs w:val="22"/>
                <w:lang w:val="en-US" w:eastAsia="zh-CN" w:bidi="ar-SA"/>
              </w:rPr>
              <w:t>’</w:t>
            </w:r>
            <w:r>
              <w:rPr>
                <w:rFonts w:hint="default" w:ascii="Times New Roman" w:hAnsi="Times New Roman" w:cs="Times New Roman" w:eastAsiaTheme="minorEastAsia"/>
                <w:kern w:val="2"/>
                <w:sz w:val="21"/>
                <w:szCs w:val="22"/>
                <w:lang w:val="en-US" w:eastAsia="zh-CN" w:bidi="ar-SA"/>
              </w:rPr>
              <w:t>d type inequality for partitioned matrices with numerical ranges in asector, Linear and Multilinear Algebra, 67(2019)No.9,1719-1726.（SCI）</w:t>
            </w:r>
          </w:p>
          <w:p>
            <w:pPr>
              <w:pStyle w:val="5"/>
              <w:keepNext w:val="0"/>
              <w:keepLines w:val="0"/>
              <w:widowControl/>
              <w:suppressLineNumbers w:val="0"/>
              <w:spacing w:before="0" w:beforeAutospacing="0" w:after="0" w:afterAutospacing="0" w:line="384" w:lineRule="atLeast"/>
              <w:ind w:left="0" w:right="0" w:firstLine="0"/>
              <w:jc w:val="left"/>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[10]</w:t>
            </w:r>
            <w:r>
              <w:rPr>
                <w:rFonts w:hint="default" w:ascii="Times New Roman" w:hAnsi="Times New Roman" w:cs="Times New Roman" w:eastAsiaTheme="minorEastAsia"/>
                <w:kern w:val="2"/>
                <w:sz w:val="21"/>
                <w:szCs w:val="22"/>
                <w:lang w:val="en-US" w:eastAsia="zh-CN" w:bidi="ar-SA"/>
              </w:rPr>
              <w:t> Junjian Yang, Linzhang Lu, Zhen Chen.A note on more inequalities for sector matrices, Operators and matrices, 13(2019)No.2,471-476.（SCI）</w:t>
            </w:r>
          </w:p>
          <w:p>
            <w:pPr>
              <w:pStyle w:val="5"/>
              <w:keepNext w:val="0"/>
              <w:keepLines w:val="0"/>
              <w:widowControl/>
              <w:suppressLineNumbers w:val="0"/>
              <w:spacing w:before="0" w:beforeAutospacing="0" w:after="0" w:afterAutospacing="0" w:line="384" w:lineRule="atLeast"/>
              <w:ind w:left="0" w:right="0" w:firstLine="0"/>
              <w:jc w:val="left"/>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[11]</w:t>
            </w:r>
            <w:r>
              <w:rPr>
                <w:rFonts w:hint="default" w:ascii="Times New Roman" w:hAnsi="Times New Roman" w:cs="Times New Roman" w:eastAsiaTheme="minorEastAsia"/>
                <w:kern w:val="2"/>
                <w:sz w:val="21"/>
                <w:szCs w:val="22"/>
                <w:lang w:val="en-US" w:eastAsia="zh-CN" w:bidi="ar-SA"/>
              </w:rPr>
              <w:t xml:space="preserve"> Junjian Yang, Xiaohui Fu. Squaring  operator </w:t>
            </w:r>
            <w:r>
              <w:rPr>
                <w:rFonts w:hint="default" w:ascii="Times New Roman" w:hAnsi="Times New Roman" w:cs="Times New Roman" w:eastAsiaTheme="minorEastAsia"/>
                <w:kern w:val="2"/>
                <w:sz w:val="21"/>
                <w:szCs w:val="22"/>
                <w:lang w:val="en-US" w:eastAsia="zh-CN" w:bidi="ar-SA"/>
              </w:rPr>
              <w:drawing>
                <wp:inline distT="0" distB="0" distL="114300" distR="114300">
                  <wp:extent cx="152400" cy="142875"/>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6"/>
                          <a:stretch>
                            <a:fillRect/>
                          </a:stretch>
                        </pic:blipFill>
                        <pic:spPr>
                          <a:xfrm>
                            <a:off x="0" y="0"/>
                            <a:ext cx="152400" cy="142875"/>
                          </a:xfrm>
                          <a:prstGeom prst="rect">
                            <a:avLst/>
                          </a:prstGeom>
                          <a:noFill/>
                          <a:ln w="9525">
                            <a:noFill/>
                          </a:ln>
                        </pic:spPr>
                      </pic:pic>
                    </a:graphicData>
                  </a:graphic>
                </wp:inline>
              </w:drawing>
            </w:r>
            <w:r>
              <w:rPr>
                <w:rFonts w:hint="default" w:ascii="Times New Roman" w:hAnsi="Times New Roman" w:cs="Times New Roman" w:eastAsiaTheme="minorEastAsia"/>
                <w:kern w:val="2"/>
                <w:sz w:val="21"/>
                <w:szCs w:val="22"/>
                <w:lang w:val="en-US" w:eastAsia="zh-CN" w:bidi="ar-SA"/>
              </w:rPr>
              <w:t>-geometric mean inequality, Journal of Mathematical Inequalities. 10 (2016) 571-575. （SCI）</w:t>
            </w:r>
          </w:p>
          <w:p>
            <w:pPr>
              <w:pStyle w:val="5"/>
              <w:keepNext w:val="0"/>
              <w:keepLines w:val="0"/>
              <w:widowControl/>
              <w:suppressLineNumbers w:val="0"/>
              <w:spacing w:before="0" w:beforeAutospacing="0" w:after="0" w:afterAutospacing="0" w:line="384" w:lineRule="atLeast"/>
              <w:ind w:left="0" w:right="0" w:firstLine="0"/>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 xml:space="preserve">[12] </w:t>
            </w:r>
            <w:r>
              <w:rPr>
                <w:rFonts w:hint="default" w:ascii="Times New Roman" w:hAnsi="Times New Roman" w:cs="Times New Roman" w:eastAsiaTheme="minorEastAsia"/>
                <w:kern w:val="2"/>
                <w:sz w:val="21"/>
                <w:szCs w:val="22"/>
                <w:lang w:val="en-US" w:eastAsia="zh-CN" w:bidi="ar-SA"/>
              </w:rPr>
              <w:t>Junjian Yang. Some mean inequalities for positive linear maps, Italian Journal of  Pure and Applied Mathematics. 35 (2015) 87-90. （EI）</w:t>
            </w:r>
          </w:p>
          <w:p>
            <w:pPr>
              <w:pStyle w:val="5"/>
              <w:keepNext w:val="0"/>
              <w:keepLines w:val="0"/>
              <w:widowControl/>
              <w:suppressLineNumbers w:val="0"/>
              <w:spacing w:before="0" w:beforeAutospacing="0" w:after="0" w:afterAutospacing="0" w:line="384" w:lineRule="atLeast"/>
              <w:ind w:left="0" w:right="0" w:firstLine="0"/>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[13]</w:t>
            </w:r>
            <w:r>
              <w:rPr>
                <w:rFonts w:hint="default" w:ascii="Times New Roman" w:hAnsi="Times New Roman" w:cs="Times New Roman" w:eastAsiaTheme="minorEastAsia"/>
                <w:kern w:val="2"/>
                <w:sz w:val="21"/>
                <w:szCs w:val="22"/>
                <w:lang w:val="en-US" w:eastAsia="zh-CN" w:bidi="ar-SA"/>
              </w:rPr>
              <w:t xml:space="preserve"> Junjian Yang. A refinement on the growth factor in Gaussian elimination for Accretive-dissipative matrices, Italian Journal of Pure and Applied Mathematics. 33 (2014) 273-278.（EI）</w:t>
            </w:r>
          </w:p>
          <w:p>
            <w:pPr>
              <w:pStyle w:val="5"/>
              <w:keepNext w:val="0"/>
              <w:keepLines w:val="0"/>
              <w:widowControl/>
              <w:suppressLineNumbers w:val="0"/>
              <w:spacing w:before="0" w:beforeAutospacing="0" w:after="0" w:afterAutospacing="0" w:line="384" w:lineRule="atLeast"/>
              <w:ind w:left="0" w:right="0" w:firstLine="0"/>
              <w:jc w:val="left"/>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2"/>
                <w:lang w:val="en-US" w:eastAsia="zh-CN" w:bidi="ar-SA"/>
              </w:rPr>
              <w:t>[14]</w:t>
            </w:r>
            <w:r>
              <w:rPr>
                <w:rFonts w:hint="default" w:ascii="Times New Roman" w:hAnsi="Times New Roman" w:cs="Times New Roman" w:eastAsiaTheme="minorEastAsia"/>
                <w:kern w:val="2"/>
                <w:sz w:val="21"/>
                <w:szCs w:val="22"/>
                <w:lang w:val="en-US" w:eastAsia="zh-CN" w:bidi="ar-SA"/>
              </w:rPr>
              <w:t xml:space="preserve"> Junjian Yang.Some determinantal inequalities for accretive-dissipative matrices, Journal of Inequalities and Applications. 2013, 2013:512.(SCI)</w:t>
            </w:r>
          </w:p>
          <w:p>
            <w:pPr>
              <w:ind w:firstLine="420" w:firstLineChars="200"/>
              <w:rPr>
                <w:rFonts w:hint="default" w:ascii="Times New Roman" w:hAnsi="Times New Roman" w:cs="Times New Roman"/>
              </w:rPr>
            </w:pPr>
            <w:r>
              <w:rPr>
                <w:rFonts w:hint="default" w:ascii="Times New Roman" w:hAnsi="Times New Roman" w:cs="Times New Roman"/>
              </w:rPr>
              <w:t>此外，积极参与学术科研交流活动，</w:t>
            </w:r>
            <w:r>
              <w:rPr>
                <w:rFonts w:hint="default" w:ascii="Times New Roman" w:hAnsi="Times New Roman" w:cs="Times New Roman"/>
                <w:lang w:val="en-US" w:eastAsia="zh-CN"/>
              </w:rPr>
              <w:t>任现职以来，多次参加各种学术会议，并做报告2次</w:t>
            </w:r>
            <w:r>
              <w:rPr>
                <w:rFonts w:hint="default" w:ascii="Times New Roman" w:hAnsi="Times New Roman" w:cs="Times New Roman"/>
              </w:rPr>
              <w:t>。</w:t>
            </w:r>
          </w:p>
          <w:p>
            <w:pPr>
              <w:rPr>
                <w:rFonts w:hint="default" w:ascii="Times New Roman" w:hAnsi="Times New Roman" w:cs="Times New Roman"/>
              </w:rPr>
            </w:pPr>
            <w:r>
              <w:rPr>
                <w:rFonts w:hint="default" w:ascii="Times New Roman" w:hAnsi="Times New Roman" w:cs="Times New Roman"/>
              </w:rPr>
              <w:t>四、参与专业学科建设与发展</w:t>
            </w:r>
          </w:p>
          <w:p>
            <w:pPr>
              <w:ind w:firstLine="420" w:firstLineChars="200"/>
              <w:rPr>
                <w:rFonts w:hint="default" w:ascii="Times New Roman" w:hAnsi="Times New Roman" w:cs="Times New Roman"/>
              </w:rPr>
            </w:pPr>
            <w:r>
              <w:rPr>
                <w:rFonts w:hint="default" w:ascii="Times New Roman" w:hAnsi="Times New Roman" w:cs="Times New Roman"/>
              </w:rPr>
              <w:t>任现职以来，积极参与专业学科建设与发展，参与讨论与制定培养方案。任职以来，多次参与教育部</w:t>
            </w:r>
            <w:r>
              <w:rPr>
                <w:rFonts w:hint="eastAsia" w:asciiTheme="minorEastAsia" w:hAnsiTheme="minorEastAsia" w:eastAsiaTheme="minorEastAsia" w:cstheme="minorEastAsia"/>
              </w:rPr>
              <w:t>“</w:t>
            </w:r>
            <w:r>
              <w:rPr>
                <w:rFonts w:hint="default" w:ascii="Times New Roman" w:hAnsi="Times New Roman" w:cs="Times New Roman"/>
              </w:rPr>
              <w:t>数据科学与智慧教育</w:t>
            </w:r>
            <w:r>
              <w:rPr>
                <w:rFonts w:hint="eastAsia" w:asciiTheme="minorEastAsia" w:hAnsiTheme="minorEastAsia" w:eastAsiaTheme="minorEastAsia" w:cstheme="minorEastAsia"/>
              </w:rPr>
              <w:t>”</w:t>
            </w:r>
            <w:r>
              <w:rPr>
                <w:rFonts w:hint="default" w:ascii="Times New Roman" w:hAnsi="Times New Roman" w:cs="Times New Roman"/>
              </w:rPr>
              <w:t>重点实验室、海南省</w:t>
            </w:r>
            <w:r>
              <w:rPr>
                <w:rFonts w:hint="eastAsia" w:asciiTheme="minorEastAsia" w:hAnsiTheme="minorEastAsia" w:eastAsiaTheme="minorEastAsia" w:cstheme="minorEastAsia"/>
              </w:rPr>
              <w:t>“</w:t>
            </w:r>
            <w:r>
              <w:rPr>
                <w:rFonts w:hint="default" w:ascii="Times New Roman" w:hAnsi="Times New Roman" w:cs="Times New Roman"/>
              </w:rPr>
              <w:t>计算科学与应用</w:t>
            </w:r>
            <w:r>
              <w:rPr>
                <w:rFonts w:hint="eastAsia" w:asciiTheme="minorEastAsia" w:hAnsiTheme="minorEastAsia" w:eastAsiaTheme="minorEastAsia" w:cstheme="minorEastAsia"/>
              </w:rPr>
              <w:t>”</w:t>
            </w:r>
            <w:r>
              <w:rPr>
                <w:rFonts w:hint="default" w:ascii="Times New Roman" w:hAnsi="Times New Roman" w:cs="Times New Roman"/>
              </w:rPr>
              <w:t>重点实验室、海南省</w:t>
            </w:r>
            <w:r>
              <w:rPr>
                <w:rFonts w:hint="eastAsia" w:asciiTheme="minorEastAsia" w:hAnsiTheme="minorEastAsia" w:eastAsiaTheme="minorEastAsia" w:cstheme="minorEastAsia"/>
              </w:rPr>
              <w:t>“</w:t>
            </w:r>
            <w:r>
              <w:rPr>
                <w:rFonts w:hint="default" w:ascii="Times New Roman" w:hAnsi="Times New Roman" w:cs="Times New Roman"/>
              </w:rPr>
              <w:t>数据技术与应用</w:t>
            </w:r>
            <w:r>
              <w:rPr>
                <w:rFonts w:hint="eastAsia" w:asciiTheme="minorEastAsia" w:hAnsiTheme="minorEastAsia" w:eastAsiaTheme="minorEastAsia" w:cstheme="minorEastAsia"/>
              </w:rPr>
              <w:t>”</w:t>
            </w:r>
            <w:r>
              <w:rPr>
                <w:rFonts w:hint="default" w:ascii="Times New Roman" w:hAnsi="Times New Roman" w:cs="Times New Roman"/>
              </w:rPr>
              <w:t>工程中心等多个省部级科研平台、师范专业认证和数学博士点申报的材料撰写。</w:t>
            </w:r>
          </w:p>
          <w:p>
            <w:pPr>
              <w:rPr>
                <w:rFonts w:hint="default" w:ascii="Times New Roman" w:hAnsi="Times New Roman" w:cs="Times New Roman"/>
              </w:rPr>
            </w:pPr>
            <w:r>
              <w:rPr>
                <w:rFonts w:hint="default" w:ascii="Times New Roman" w:hAnsi="Times New Roman" w:cs="Times New Roman"/>
              </w:rPr>
              <w:t>五、加强学习与进修</w:t>
            </w:r>
          </w:p>
          <w:p>
            <w:pPr>
              <w:ind w:firstLine="420" w:firstLineChars="200"/>
              <w:rPr>
                <w:rFonts w:hint="default" w:ascii="Times New Roman" w:hAnsi="Times New Roman" w:cs="Times New Roman"/>
              </w:rPr>
            </w:pPr>
            <w:r>
              <w:rPr>
                <w:rFonts w:hint="default" w:ascii="Times New Roman" w:hAnsi="Times New Roman" w:cs="Times New Roman"/>
              </w:rPr>
              <w:t>任现职以来，坚持通过学习和培训提高自己，夯实了业务基础，提升综合素质能力。四川大学出国留学服务部举办的出国留学人员英语培训、国家行政学院线上举办的</w:t>
            </w:r>
            <w:r>
              <w:rPr>
                <w:rFonts w:hint="eastAsia" w:asciiTheme="minorEastAsia" w:hAnsiTheme="minorEastAsia" w:eastAsiaTheme="minorEastAsia" w:cstheme="minorEastAsia"/>
              </w:rPr>
              <w:t>“</w:t>
            </w:r>
            <w:r>
              <w:rPr>
                <w:rFonts w:hint="default" w:ascii="Times New Roman" w:hAnsi="Times New Roman" w:cs="Times New Roman"/>
              </w:rPr>
              <w:t>厚植爱国情怀 涵育高尚师德</w:t>
            </w:r>
            <w:r>
              <w:rPr>
                <w:rFonts w:hint="default" w:ascii="Times New Roman" w:hAnsi="Times New Roman" w:cs="Times New Roman"/>
                <w:lang w:val="en-US" w:eastAsia="zh-CN"/>
              </w:rPr>
              <w:t xml:space="preserve"> </w:t>
            </w:r>
            <w:r>
              <w:rPr>
                <w:rFonts w:hint="default" w:ascii="Times New Roman" w:hAnsi="Times New Roman" w:cs="Times New Roman"/>
              </w:rPr>
              <w:t>加强时代队伍建设</w:t>
            </w:r>
            <w:r>
              <w:rPr>
                <w:rFonts w:hint="eastAsia" w:asciiTheme="minorEastAsia" w:hAnsiTheme="minorEastAsia" w:eastAsiaTheme="minorEastAsia" w:cstheme="minorEastAsia"/>
              </w:rPr>
              <w:t>”</w:t>
            </w:r>
            <w:r>
              <w:rPr>
                <w:rFonts w:hint="default" w:ascii="Times New Roman" w:hAnsi="Times New Roman" w:cs="Times New Roman"/>
              </w:rPr>
              <w:t>的网络培训等，提高了业务素养、开阔了视野。我相信，只有不断地加强专业学习培训、继续教育培训学习和学术交流，自己的各方面能力和综合素质才能不断提升。</w:t>
            </w:r>
          </w:p>
          <w:p>
            <w:pPr>
              <w:ind w:firstLine="420" w:firstLineChars="200"/>
              <w:rPr>
                <w:rFonts w:hint="default" w:ascii="Times New Roman" w:hAnsi="Times New Roman" w:cs="Times New Roman"/>
              </w:rPr>
            </w:pPr>
            <w:r>
              <w:rPr>
                <w:rFonts w:hint="default" w:ascii="Times New Roman" w:hAnsi="Times New Roman" w:cs="Times New Roman"/>
              </w:rPr>
              <w:t>综上所述，本人已达到晋升教学科研型教授专业技术资格评审的要求。</w:t>
            </w:r>
          </w:p>
          <w:p/>
          <w:p/>
          <w:p>
            <w:r>
              <w:rPr>
                <w:rFonts w:hint="eastAsia"/>
              </w:rPr>
              <w:t>本人承诺：</w:t>
            </w:r>
          </w:p>
          <w:p/>
          <w:p/>
          <w:p/>
          <w:p>
            <w:r>
              <w:rPr>
                <w:rFonts w:hint="eastAsia"/>
              </w:rPr>
              <w:t xml:space="preserve">                                                       签名：                   年   月   日</w:t>
            </w:r>
          </w:p>
        </w:tc>
      </w:tr>
    </w:tbl>
    <w:p/>
    <w:p>
      <w:pPr>
        <w:jc w:val="center"/>
        <w:rPr>
          <w:rFonts w:hint="eastAsia"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hint="eastAsia" w:ascii="仿宋_GB2312" w:eastAsia="仿宋_GB2312"/>
                <w:sz w:val="30"/>
                <w:szCs w:val="30"/>
                <w:lang w:val="en-US" w:eastAsia="zh-CN"/>
              </w:rPr>
            </w:pPr>
            <w:r>
              <w:rPr>
                <w:rFonts w:hint="eastAsia" w:ascii="仿宋_GB2312" w:eastAsia="仿宋_GB2312"/>
                <w:sz w:val="30"/>
                <w:szCs w:val="30"/>
                <w:lang w:val="en-US" w:eastAsia="zh-CN"/>
              </w:rPr>
              <w:t>杨俊坚</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数学与统计学院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计算数学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教学科研型教授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ind w:firstLine="480"/>
              <w:rPr>
                <w:rFonts w:hint="eastAsia" w:ascii="仿宋_GB2312" w:eastAsia="仿宋_GB2312"/>
                <w:sz w:val="24"/>
                <w:szCs w:val="24"/>
                <w:lang w:val="en-US" w:eastAsia="zh-CN"/>
              </w:rPr>
            </w:pPr>
            <w:r>
              <w:rPr>
                <w:rFonts w:hint="eastAsia" w:ascii="仿宋_GB2312" w:eastAsia="仿宋_GB2312"/>
                <w:sz w:val="24"/>
                <w:szCs w:val="24"/>
                <w:lang w:val="en-US" w:eastAsia="zh-CN"/>
              </w:rPr>
              <w:t xml:space="preserve">杨俊坚老师在我院承担信息与计算科学、大数据、数学等专业的教学工作，该教师教学态度端正，教学基本功扎实，年均教学课堂教学工作量符合相应的教学业绩条件，课堂教学评价均为优秀。此外，该教师积极探索教学改革，主持校级教改项目一项。注重学生的培养，指导学生毕业实习、论文和竞赛等工作，期中在2022年指导学生参加数学建模竞赛中，荣获海南赛区二等奖。    </w:t>
            </w:r>
          </w:p>
          <w:p>
            <w:pPr>
              <w:spacing w:line="360" w:lineRule="exact"/>
              <w:ind w:firstLine="480"/>
              <w:rPr>
                <w:rFonts w:hint="default" w:ascii="仿宋_GB2312" w:eastAsia="仿宋_GB2312"/>
                <w:sz w:val="24"/>
                <w:szCs w:val="24"/>
                <w:lang w:val="en-US" w:eastAsia="zh-CN"/>
              </w:rPr>
            </w:pPr>
            <w:r>
              <w:rPr>
                <w:rFonts w:hint="eastAsia" w:ascii="仿宋_GB2312" w:eastAsia="仿宋_GB2312"/>
                <w:sz w:val="24"/>
                <w:szCs w:val="24"/>
                <w:lang w:val="en-US" w:eastAsia="zh-CN"/>
              </w:rPr>
              <w:t>经鉴定，同意推荐杨俊坚老师申报教学科研型教授。</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ind w:firstLine="480"/>
              <w:rPr>
                <w:rFonts w:hint="eastAsia" w:ascii="仿宋_GB2312" w:eastAsia="仿宋_GB2312"/>
                <w:sz w:val="24"/>
                <w:szCs w:val="24"/>
                <w:lang w:val="en-US" w:eastAsia="zh-CN"/>
              </w:rPr>
            </w:pPr>
            <w:r>
              <w:rPr>
                <w:rFonts w:hint="eastAsia" w:ascii="仿宋_GB2312" w:eastAsia="仿宋_GB2312"/>
                <w:sz w:val="24"/>
                <w:szCs w:val="24"/>
                <w:lang w:val="en-US" w:eastAsia="zh-CN"/>
              </w:rPr>
              <w:t>杨俊坚老师在我院承担信息与计算科学、大数据、数学专业的专业技术工作，该教师在计算数学专业具有扎实的理论基础和渊博的专业知识，取得副教授资格以来以第一作者发表高水平SCI、EI论文14篇，主持国家自然科学基金一项、省自然基金面上项目一项。</w:t>
            </w:r>
          </w:p>
          <w:p>
            <w:pPr>
              <w:spacing w:line="360" w:lineRule="exact"/>
              <w:ind w:firstLine="480"/>
              <w:rPr>
                <w:rFonts w:hint="default" w:ascii="仿宋_GB2312" w:eastAsia="仿宋_GB2312"/>
                <w:sz w:val="24"/>
                <w:szCs w:val="24"/>
                <w:lang w:val="en-US" w:eastAsia="zh-CN"/>
              </w:rPr>
            </w:pPr>
            <w:r>
              <w:rPr>
                <w:rFonts w:hint="eastAsia" w:ascii="仿宋_GB2312" w:eastAsia="仿宋_GB2312"/>
                <w:sz w:val="24"/>
                <w:szCs w:val="24"/>
                <w:lang w:val="en-US" w:eastAsia="zh-CN"/>
              </w:rPr>
              <w:t>经鉴定，杨俊坚老师具有较高水平的研究成果和学术造诣，同意推荐申报教学科研型教授。</w:t>
            </w: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hint="default" w:ascii="Times New Roman" w:hAnsi="Times New Roman" w:eastAsia="楷体"/>
                <w:sz w:val="24"/>
                <w:szCs w:val="24"/>
                <w:lang w:val="en-US"/>
              </w:rPr>
            </w:pPr>
            <w:r>
              <w:rPr>
                <w:rFonts w:hint="eastAsia" w:ascii="宋体" w:hAnsi="宋体" w:cs="Arial"/>
                <w:kern w:val="0"/>
                <w:szCs w:val="21"/>
              </w:rPr>
              <w:t>代表性成果1名称：</w:t>
            </w:r>
            <w:r>
              <w:rPr>
                <w:rFonts w:hint="eastAsia" w:ascii="Times New Roman" w:hAnsi="Times New Roman" w:eastAsia="楷体"/>
                <w:sz w:val="24"/>
                <w:szCs w:val="24"/>
                <w:lang w:val="en-US" w:eastAsia="zh-CN"/>
              </w:rPr>
              <w:t xml:space="preserve">Schatten q-norms and determinantal inequalities for matrices with numerical ranges in a sector, </w:t>
            </w:r>
            <w:r>
              <w:rPr>
                <w:rFonts w:hint="eastAsia" w:ascii="Times New Roman" w:hAnsi="Times New Roman" w:eastAsia="楷体"/>
                <w:i/>
                <w:iCs/>
                <w:sz w:val="24"/>
                <w:szCs w:val="24"/>
                <w:lang w:val="en-US" w:eastAsia="zh-CN"/>
              </w:rPr>
              <w:t>Linear and Multilinear Algebra.</w:t>
            </w:r>
          </w:p>
          <w:p>
            <w:pPr>
              <w:widowControl/>
              <w:jc w:val="left"/>
              <w:rPr>
                <w:rFonts w:hint="default" w:ascii="宋体" w:hAnsi="宋体" w:cs="Arial"/>
                <w:kern w:val="0"/>
                <w:szCs w:val="21"/>
                <w:lang w:val="en-US"/>
              </w:rPr>
            </w:pPr>
            <w:r>
              <w:rPr>
                <w:rFonts w:hint="eastAsia" w:ascii="宋体" w:hAnsi="宋体" w:cs="Arial"/>
                <w:kern w:val="0"/>
                <w:szCs w:val="21"/>
              </w:rPr>
              <w:t>代表性成果2名称：</w:t>
            </w:r>
            <w:r>
              <w:rPr>
                <w:rFonts w:hint="eastAsia" w:ascii="Times New Roman" w:hAnsi="Times New Roman" w:eastAsia="楷体"/>
                <w:sz w:val="24"/>
                <w:szCs w:val="24"/>
                <w:lang w:val="en-US" w:eastAsia="zh-CN"/>
              </w:rPr>
              <w:t>A refinement of Rotfel</w:t>
            </w:r>
            <w:r>
              <w:rPr>
                <w:rFonts w:hint="default" w:ascii="Times New Roman" w:hAnsi="Times New Roman" w:eastAsia="楷体"/>
                <w:sz w:val="24"/>
                <w:szCs w:val="24"/>
                <w:lang w:val="en-US" w:eastAsia="zh-CN"/>
              </w:rPr>
              <w:t>’</w:t>
            </w:r>
            <w:r>
              <w:rPr>
                <w:rFonts w:hint="eastAsia" w:ascii="Times New Roman" w:hAnsi="Times New Roman" w:eastAsia="楷体"/>
                <w:sz w:val="24"/>
                <w:szCs w:val="24"/>
                <w:lang w:val="en-US" w:eastAsia="zh-CN"/>
              </w:rPr>
              <w:t xml:space="preserve">d type inequality for partitioned matrices with numerical ranges in asector, </w:t>
            </w:r>
            <w:r>
              <w:rPr>
                <w:rFonts w:hint="eastAsia" w:ascii="Times New Roman" w:hAnsi="Times New Roman" w:eastAsia="楷体"/>
                <w:i/>
                <w:iCs/>
                <w:sz w:val="24"/>
                <w:szCs w:val="24"/>
                <w:lang w:val="en-US" w:eastAsia="zh-CN"/>
              </w:rPr>
              <w:t>Linear and Multilinear Algebra.</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3YjM3ZGVhMmM5ODBmN2U2NThlMGVmMDlkZjA0MzI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5324418"/>
    <w:rsid w:val="062956B3"/>
    <w:rsid w:val="0643325A"/>
    <w:rsid w:val="09751D17"/>
    <w:rsid w:val="0A9B39E1"/>
    <w:rsid w:val="0C531993"/>
    <w:rsid w:val="0D5730A7"/>
    <w:rsid w:val="0F20271C"/>
    <w:rsid w:val="102246B5"/>
    <w:rsid w:val="11B220E0"/>
    <w:rsid w:val="139B75B3"/>
    <w:rsid w:val="14BF0806"/>
    <w:rsid w:val="153B3244"/>
    <w:rsid w:val="168A6775"/>
    <w:rsid w:val="170A13A3"/>
    <w:rsid w:val="17181AE0"/>
    <w:rsid w:val="189E29EE"/>
    <w:rsid w:val="1AB27F6C"/>
    <w:rsid w:val="1E0647F8"/>
    <w:rsid w:val="1E1E083D"/>
    <w:rsid w:val="1E2321A7"/>
    <w:rsid w:val="236F6313"/>
    <w:rsid w:val="24002E90"/>
    <w:rsid w:val="24146780"/>
    <w:rsid w:val="26C836D0"/>
    <w:rsid w:val="28FF3BB4"/>
    <w:rsid w:val="2A685020"/>
    <w:rsid w:val="2A7A1BC2"/>
    <w:rsid w:val="2CA27E44"/>
    <w:rsid w:val="2CBF0E1F"/>
    <w:rsid w:val="2F2E26D6"/>
    <w:rsid w:val="313B5160"/>
    <w:rsid w:val="33D6278A"/>
    <w:rsid w:val="34803085"/>
    <w:rsid w:val="36AE09FA"/>
    <w:rsid w:val="38BA425C"/>
    <w:rsid w:val="3B343B7A"/>
    <w:rsid w:val="3BE23A37"/>
    <w:rsid w:val="3F1151BB"/>
    <w:rsid w:val="42FA74E7"/>
    <w:rsid w:val="43D9101E"/>
    <w:rsid w:val="457347FE"/>
    <w:rsid w:val="469A60D3"/>
    <w:rsid w:val="499C1040"/>
    <w:rsid w:val="49C05A15"/>
    <w:rsid w:val="49DF4468"/>
    <w:rsid w:val="4B027E16"/>
    <w:rsid w:val="4B4A23CE"/>
    <w:rsid w:val="4B6C5E58"/>
    <w:rsid w:val="4C4E6FB7"/>
    <w:rsid w:val="4F6439ED"/>
    <w:rsid w:val="5083184F"/>
    <w:rsid w:val="511760C1"/>
    <w:rsid w:val="53E67D0C"/>
    <w:rsid w:val="55521AC9"/>
    <w:rsid w:val="572A655F"/>
    <w:rsid w:val="57825422"/>
    <w:rsid w:val="58E06996"/>
    <w:rsid w:val="5C454C76"/>
    <w:rsid w:val="606A26FC"/>
    <w:rsid w:val="60D462BC"/>
    <w:rsid w:val="61C80A51"/>
    <w:rsid w:val="67211B83"/>
    <w:rsid w:val="69DA2919"/>
    <w:rsid w:val="6AC141C7"/>
    <w:rsid w:val="6AC822A2"/>
    <w:rsid w:val="6BC83EFB"/>
    <w:rsid w:val="6E886D57"/>
    <w:rsid w:val="70A1174A"/>
    <w:rsid w:val="73480BFE"/>
    <w:rsid w:val="74C27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22"/>
    <w:rPr>
      <w:b/>
    </w:rPr>
  </w:style>
  <w:style w:type="character" w:styleId="10">
    <w:name w:val="Emphasis"/>
    <w:basedOn w:val="8"/>
    <w:qFormat/>
    <w:uiPriority w:val="20"/>
    <w:rPr>
      <w:i/>
    </w:r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页眉 Char"/>
    <w:basedOn w:val="8"/>
    <w:link w:val="4"/>
    <w:qFormat/>
    <w:uiPriority w:val="99"/>
    <w:rPr>
      <w:sz w:val="18"/>
      <w:szCs w:val="18"/>
    </w:rPr>
  </w:style>
  <w:style w:type="character" w:customStyle="1" w:styleId="13">
    <w:name w:val="页脚 Char"/>
    <w:basedOn w:val="8"/>
    <w:link w:val="3"/>
    <w:qFormat/>
    <w:uiPriority w:val="99"/>
    <w:rPr>
      <w:sz w:val="18"/>
      <w:szCs w:val="18"/>
    </w:rPr>
  </w:style>
  <w:style w:type="character" w:customStyle="1" w:styleId="14">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24</Pages>
  <Words>9639</Words>
  <Characters>13912</Characters>
  <Lines>81</Lines>
  <Paragraphs>22</Paragraphs>
  <TotalTime>142</TotalTime>
  <ScaleCrop>false</ScaleCrop>
  <LinksUpToDate>false</LinksUpToDate>
  <CharactersWithSpaces>16336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2022-11-17T03:10:00Z</cp:lastPrinted>
  <dcterms:modified xsi:type="dcterms:W3CDTF">2023-09-05T02:38:50Z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B7CA6712E82448D8955961D72A398422_13</vt:lpwstr>
  </property>
</Properties>
</file>